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594" w:rsidRDefault="00894B1F" w:rsidP="005A0594">
      <w:pPr>
        <w:pStyle w:val="Encabezado"/>
        <w:jc w:val="right"/>
      </w:pPr>
      <w:r>
        <w:rPr>
          <w:noProof/>
          <w:lang w:val="es-AR" w:eastAsia="es-AR"/>
        </w:rPr>
        <w:drawing>
          <wp:inline distT="0" distB="0" distL="0" distR="0">
            <wp:extent cx="6286500" cy="695325"/>
            <wp:effectExtent l="19050" t="0" r="0" b="0"/>
            <wp:docPr id="1" name="Imagen 1" descr="Encabezado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ncabezado wor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D2B" w:rsidRDefault="000F3D2B" w:rsidP="000F3D2B">
      <w:pPr>
        <w:pStyle w:val="Textoindependiente"/>
        <w:jc w:val="right"/>
      </w:pPr>
    </w:p>
    <w:p w:rsidR="000F3D2B" w:rsidRDefault="000F3D2B" w:rsidP="000F3D2B">
      <w:pPr>
        <w:pStyle w:val="Textoindependiente"/>
        <w:jc w:val="right"/>
      </w:pPr>
    </w:p>
    <w:p w:rsidR="001E1F7C" w:rsidRPr="001E1F7C" w:rsidRDefault="001E1F7C" w:rsidP="001E1F7C">
      <w:pPr>
        <w:pBdr>
          <w:bottom w:val="single" w:sz="4" w:space="1" w:color="auto"/>
        </w:pBdr>
        <w:spacing w:line="360" w:lineRule="auto"/>
        <w:jc w:val="center"/>
        <w:rPr>
          <w:rFonts w:ascii="Arial" w:hAnsi="Arial" w:cs="Arial"/>
          <w:b/>
          <w:spacing w:val="28"/>
        </w:rPr>
      </w:pPr>
      <w:r w:rsidRPr="001E1F7C">
        <w:rPr>
          <w:rFonts w:ascii="Arial" w:hAnsi="Arial" w:cs="Arial"/>
          <w:b/>
          <w:spacing w:val="28"/>
        </w:rPr>
        <w:t>COMUNICACIÓN N°</w:t>
      </w:r>
      <w:r w:rsidR="008331E5">
        <w:rPr>
          <w:rFonts w:ascii="Arial" w:hAnsi="Arial" w:cs="Arial"/>
          <w:b/>
          <w:spacing w:val="28"/>
        </w:rPr>
        <w:t>50</w:t>
      </w:r>
      <w:r w:rsidRPr="001E1F7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- </w:t>
      </w:r>
      <w:r w:rsidRPr="001E1F7C">
        <w:rPr>
          <w:rFonts w:ascii="Arial" w:hAnsi="Arial" w:cs="Arial"/>
          <w:b/>
        </w:rPr>
        <w:t>ANEXO 1</w:t>
      </w:r>
    </w:p>
    <w:p w:rsidR="001E1F7C" w:rsidRPr="004842D2" w:rsidRDefault="001E1F7C" w:rsidP="001E1F7C">
      <w:pPr>
        <w:jc w:val="both"/>
        <w:rPr>
          <w:rFonts w:ascii="Arial" w:hAnsi="Arial" w:cs="Arial"/>
        </w:rPr>
      </w:pPr>
      <w:r w:rsidRPr="004842D2">
        <w:rPr>
          <w:rFonts w:ascii="Arial" w:hAnsi="Arial" w:cs="Arial"/>
        </w:rPr>
        <w:t xml:space="preserve">                                                    </w:t>
      </w:r>
    </w:p>
    <w:p w:rsidR="00ED3A0F" w:rsidRDefault="001E1F7C" w:rsidP="006B6D2B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A23A5F" w:rsidRPr="001524F9">
        <w:rPr>
          <w:rFonts w:ascii="Arial" w:hAnsi="Arial" w:cs="Arial"/>
          <w:sz w:val="20"/>
          <w:szCs w:val="20"/>
        </w:rPr>
        <w:t>Cada institución deberá</w:t>
      </w:r>
      <w:r w:rsidR="00F01E9A" w:rsidRPr="001524F9">
        <w:rPr>
          <w:rFonts w:ascii="Arial" w:hAnsi="Arial" w:cs="Arial"/>
          <w:sz w:val="20"/>
          <w:szCs w:val="20"/>
        </w:rPr>
        <w:t xml:space="preserve"> presentar</w:t>
      </w:r>
      <w:r w:rsidR="00ED3A0F" w:rsidRPr="001524F9">
        <w:rPr>
          <w:rFonts w:ascii="Arial" w:hAnsi="Arial" w:cs="Arial"/>
          <w:sz w:val="20"/>
          <w:szCs w:val="20"/>
        </w:rPr>
        <w:t xml:space="preserve"> </w:t>
      </w:r>
      <w:r w:rsidR="004C5672">
        <w:rPr>
          <w:rFonts w:ascii="Arial" w:hAnsi="Arial" w:cs="Arial"/>
          <w:sz w:val="20"/>
          <w:szCs w:val="20"/>
        </w:rPr>
        <w:t>la</w:t>
      </w:r>
      <w:r w:rsidR="00ED3A0F" w:rsidRPr="001524F9">
        <w:rPr>
          <w:rFonts w:ascii="Arial" w:hAnsi="Arial" w:cs="Arial"/>
          <w:sz w:val="20"/>
          <w:szCs w:val="20"/>
        </w:rPr>
        <w:t xml:space="preserve"> propuesta </w:t>
      </w:r>
      <w:r w:rsidR="004C5672">
        <w:rPr>
          <w:rFonts w:ascii="Arial" w:hAnsi="Arial" w:cs="Arial"/>
          <w:sz w:val="20"/>
          <w:szCs w:val="20"/>
        </w:rPr>
        <w:t xml:space="preserve">de </w:t>
      </w:r>
      <w:r w:rsidR="004C5672" w:rsidRPr="002A40AC">
        <w:rPr>
          <w:rFonts w:ascii="Arial" w:hAnsi="Arial" w:cs="Arial"/>
          <w:b/>
          <w:sz w:val="20"/>
          <w:szCs w:val="20"/>
        </w:rPr>
        <w:t>Formación Inicial, es decir Profesorados y Tecnicaturas Superiores</w:t>
      </w:r>
      <w:r w:rsidR="004C5672">
        <w:rPr>
          <w:rFonts w:ascii="Arial" w:hAnsi="Arial" w:cs="Arial"/>
          <w:sz w:val="20"/>
          <w:szCs w:val="20"/>
        </w:rPr>
        <w:t xml:space="preserve">, </w:t>
      </w:r>
      <w:r w:rsidR="00ED3A0F" w:rsidRPr="001524F9">
        <w:rPr>
          <w:rFonts w:ascii="Arial" w:hAnsi="Arial" w:cs="Arial"/>
          <w:sz w:val="20"/>
          <w:szCs w:val="20"/>
        </w:rPr>
        <w:t>para su análisis y consideración al Consejo Regional de Directores,</w:t>
      </w:r>
      <w:r w:rsidR="00A23A5F" w:rsidRPr="001524F9">
        <w:rPr>
          <w:rFonts w:ascii="Arial" w:hAnsi="Arial" w:cs="Arial"/>
          <w:sz w:val="20"/>
          <w:szCs w:val="20"/>
        </w:rPr>
        <w:t xml:space="preserve"> con el aval correspondiente de su Consejo Académico Institucional</w:t>
      </w:r>
      <w:r w:rsidR="00ED3A0F" w:rsidRPr="001524F9">
        <w:rPr>
          <w:rFonts w:ascii="Arial" w:hAnsi="Arial" w:cs="Arial"/>
          <w:sz w:val="20"/>
          <w:szCs w:val="20"/>
        </w:rPr>
        <w:t>.</w:t>
      </w:r>
    </w:p>
    <w:p w:rsidR="00B5018A" w:rsidRPr="002A40AC" w:rsidRDefault="00B5018A" w:rsidP="006B6D2B">
      <w:pPr>
        <w:suppressAutoHyphens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AB249B" w:rsidRDefault="001E1F7C" w:rsidP="006B6D2B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AB249B">
        <w:rPr>
          <w:rFonts w:ascii="Arial" w:hAnsi="Arial" w:cs="Arial"/>
          <w:sz w:val="20"/>
          <w:szCs w:val="20"/>
        </w:rPr>
        <w:t>En tal sentido, se recuerda las prescripciones de las normativas vigentes:</w:t>
      </w:r>
    </w:p>
    <w:p w:rsidR="00B5018A" w:rsidRPr="002A40AC" w:rsidRDefault="00B5018A" w:rsidP="006B6D2B">
      <w:pPr>
        <w:suppressAutoHyphens/>
        <w:spacing w:line="360" w:lineRule="auto"/>
        <w:ind w:firstLine="1134"/>
        <w:jc w:val="both"/>
        <w:rPr>
          <w:rFonts w:ascii="Arial" w:hAnsi="Arial" w:cs="Arial"/>
          <w:sz w:val="16"/>
          <w:szCs w:val="16"/>
        </w:rPr>
      </w:pPr>
    </w:p>
    <w:p w:rsidR="00B5018A" w:rsidRPr="00D27460" w:rsidRDefault="001E1F7C" w:rsidP="006B6D2B">
      <w:pPr>
        <w:pBdr>
          <w:bottom w:val="single" w:sz="4" w:space="1" w:color="auto"/>
        </w:pBdr>
        <w:suppressAutoHyphens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 w:rsidR="00B5018A" w:rsidRPr="00D27460">
        <w:rPr>
          <w:rFonts w:ascii="Arial" w:hAnsi="Arial" w:cs="Arial"/>
          <w:b/>
          <w:sz w:val="20"/>
          <w:szCs w:val="20"/>
        </w:rPr>
        <w:t>En cuanto a la Dirección Provincial de Educación Superior:</w:t>
      </w:r>
    </w:p>
    <w:p w:rsidR="00B5018A" w:rsidRDefault="00B5018A" w:rsidP="006B6D2B">
      <w:pPr>
        <w:suppressAutoHyphens/>
        <w:spacing w:line="360" w:lineRule="auto"/>
        <w:ind w:firstLine="1134"/>
        <w:jc w:val="both"/>
        <w:rPr>
          <w:rFonts w:ascii="Arial" w:hAnsi="Arial" w:cs="Arial"/>
          <w:sz w:val="20"/>
          <w:szCs w:val="20"/>
        </w:rPr>
      </w:pPr>
    </w:p>
    <w:p w:rsidR="00B5018A" w:rsidRDefault="001E1F7C" w:rsidP="006B6D2B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B5018A">
        <w:rPr>
          <w:rFonts w:ascii="Arial" w:hAnsi="Arial" w:cs="Arial"/>
          <w:sz w:val="20"/>
          <w:szCs w:val="20"/>
        </w:rPr>
        <w:t>Ley 13688. Art.32: El nivel de Educación Superior tiene la competencia en la planificación de oferta de carreras</w:t>
      </w:r>
      <w:r w:rsidR="002A40A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2A40AC">
        <w:rPr>
          <w:rFonts w:ascii="Arial" w:hAnsi="Arial" w:cs="Arial"/>
          <w:sz w:val="20"/>
          <w:szCs w:val="20"/>
        </w:rPr>
        <w:t>postítulos</w:t>
      </w:r>
      <w:proofErr w:type="spellEnd"/>
      <w:r w:rsidR="002A40AC">
        <w:rPr>
          <w:rFonts w:ascii="Arial" w:hAnsi="Arial" w:cs="Arial"/>
          <w:sz w:val="20"/>
          <w:szCs w:val="20"/>
        </w:rPr>
        <w:t xml:space="preserve"> y certificaciones.</w:t>
      </w:r>
      <w:r w:rsidR="00B5018A">
        <w:rPr>
          <w:rFonts w:ascii="Arial" w:hAnsi="Arial" w:cs="Arial"/>
          <w:sz w:val="20"/>
          <w:szCs w:val="20"/>
        </w:rPr>
        <w:t>…</w:t>
      </w:r>
    </w:p>
    <w:p w:rsidR="00860AB5" w:rsidRPr="002A40AC" w:rsidRDefault="00860AB5" w:rsidP="006B6D2B">
      <w:pPr>
        <w:suppressAutoHyphens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D27460" w:rsidRPr="00CE41A0" w:rsidRDefault="001E1F7C" w:rsidP="006B6D2B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</w:t>
      </w:r>
      <w:proofErr w:type="spellStart"/>
      <w:r w:rsidR="00D27460" w:rsidRPr="00CE41A0">
        <w:rPr>
          <w:rFonts w:ascii="Arial" w:hAnsi="Arial" w:cs="Arial"/>
          <w:sz w:val="20"/>
          <w:szCs w:val="20"/>
          <w:lang w:val="en-US"/>
        </w:rPr>
        <w:t>Resolución</w:t>
      </w:r>
      <w:proofErr w:type="spellEnd"/>
      <w:r w:rsidR="00D27460" w:rsidRPr="00CE41A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D27460" w:rsidRPr="00CE41A0">
        <w:rPr>
          <w:rFonts w:ascii="Arial" w:hAnsi="Arial" w:cs="Arial"/>
          <w:sz w:val="20"/>
          <w:szCs w:val="20"/>
          <w:lang w:val="en-US"/>
        </w:rPr>
        <w:t>CGCyE</w:t>
      </w:r>
      <w:r w:rsidR="0056345F" w:rsidRPr="00CE41A0">
        <w:rPr>
          <w:rFonts w:ascii="Arial" w:hAnsi="Arial" w:cs="Arial"/>
          <w:sz w:val="20"/>
          <w:szCs w:val="20"/>
          <w:lang w:val="en-US"/>
        </w:rPr>
        <w:t>d</w:t>
      </w:r>
      <w:proofErr w:type="spellEnd"/>
      <w:r w:rsidR="0056345F" w:rsidRPr="00CE41A0">
        <w:rPr>
          <w:rFonts w:ascii="Arial" w:hAnsi="Arial" w:cs="Arial"/>
          <w:sz w:val="20"/>
          <w:szCs w:val="20"/>
          <w:lang w:val="en-US"/>
        </w:rPr>
        <w:t>.</w:t>
      </w:r>
      <w:r w:rsidR="00D27460" w:rsidRPr="00CE41A0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="00D27460" w:rsidRPr="00CE41A0">
        <w:rPr>
          <w:rFonts w:ascii="Arial" w:hAnsi="Arial" w:cs="Arial"/>
          <w:sz w:val="20"/>
          <w:szCs w:val="20"/>
          <w:lang w:val="en-US"/>
        </w:rPr>
        <w:t>N</w:t>
      </w:r>
      <w:r w:rsidR="0056345F" w:rsidRPr="00CE41A0">
        <w:rPr>
          <w:rFonts w:ascii="Arial" w:hAnsi="Arial" w:cs="Arial"/>
          <w:sz w:val="20"/>
          <w:szCs w:val="20"/>
          <w:lang w:val="en-US"/>
        </w:rPr>
        <w:t>°</w:t>
      </w:r>
      <w:r w:rsidR="00D27460" w:rsidRPr="00CE41A0">
        <w:rPr>
          <w:rFonts w:ascii="Arial" w:hAnsi="Arial" w:cs="Arial"/>
          <w:sz w:val="20"/>
          <w:szCs w:val="20"/>
          <w:lang w:val="en-US"/>
        </w:rPr>
        <w:t xml:space="preserve"> 2383/05.</w:t>
      </w:r>
      <w:proofErr w:type="gramEnd"/>
    </w:p>
    <w:p w:rsidR="00D27460" w:rsidRDefault="00D27460" w:rsidP="006B6D2B">
      <w:pPr>
        <w:suppressAutoHyphens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E41A0">
        <w:rPr>
          <w:rFonts w:ascii="Arial" w:hAnsi="Arial" w:cs="Arial"/>
          <w:sz w:val="20"/>
          <w:szCs w:val="20"/>
          <w:lang w:val="en-US"/>
        </w:rPr>
        <w:t xml:space="preserve">Art. </w:t>
      </w:r>
      <w:proofErr w:type="gramStart"/>
      <w:r w:rsidRPr="00CE41A0">
        <w:rPr>
          <w:rFonts w:ascii="Arial" w:hAnsi="Arial" w:cs="Arial"/>
          <w:sz w:val="20"/>
          <w:szCs w:val="20"/>
          <w:lang w:val="en-US"/>
        </w:rPr>
        <w:t xml:space="preserve">5 Inc. </w:t>
      </w:r>
      <w:r>
        <w:rPr>
          <w:rFonts w:ascii="Arial" w:hAnsi="Arial" w:cs="Arial"/>
          <w:sz w:val="20"/>
          <w:szCs w:val="20"/>
        </w:rPr>
        <w:t>C Apertura, continuidad y cierre de carreras.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D27460" w:rsidRDefault="00D27460" w:rsidP="006B6D2B">
      <w:pPr>
        <w:suppressAutoHyphens/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apertura, la continuidad o cierre de carreras estarán sujetos a la normativa del régimen oficial o privado según corresponda, teniendo en cuenta razones de oportunidad, mérito y conveniencia, atendiendo a los lineamientos de la política educativa y a las necesidades locales y regionales, y a la planificación regional de la oferta.</w:t>
      </w:r>
    </w:p>
    <w:p w:rsidR="001E1F7C" w:rsidRPr="002A40AC" w:rsidRDefault="001E1F7C" w:rsidP="006B6D2B">
      <w:pPr>
        <w:pBdr>
          <w:bottom w:val="single" w:sz="4" w:space="1" w:color="auto"/>
        </w:pBdr>
        <w:suppressAutoHyphens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B5018A" w:rsidRPr="00D27460" w:rsidRDefault="001E1F7C" w:rsidP="006B6D2B">
      <w:pPr>
        <w:pBdr>
          <w:bottom w:val="single" w:sz="4" w:space="1" w:color="auto"/>
        </w:pBdr>
        <w:suppressAutoHyphens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B5018A" w:rsidRPr="00D27460">
        <w:rPr>
          <w:rFonts w:ascii="Arial" w:hAnsi="Arial" w:cs="Arial"/>
          <w:b/>
          <w:sz w:val="20"/>
          <w:szCs w:val="20"/>
        </w:rPr>
        <w:t>En cuanto a los Consejos Regionales de Directores</w:t>
      </w:r>
    </w:p>
    <w:p w:rsidR="00B5018A" w:rsidRDefault="00D27460" w:rsidP="006B6D2B">
      <w:pPr>
        <w:tabs>
          <w:tab w:val="left" w:pos="2130"/>
        </w:tabs>
        <w:suppressAutoHyphens/>
        <w:spacing w:line="360" w:lineRule="auto"/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AB249B" w:rsidRDefault="00AB249B" w:rsidP="006B6D2B">
      <w:pPr>
        <w:suppressAutoHyphens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27460">
        <w:rPr>
          <w:rFonts w:ascii="Arial" w:hAnsi="Arial" w:cs="Arial"/>
          <w:sz w:val="20"/>
          <w:szCs w:val="20"/>
        </w:rPr>
        <w:t>Resolución</w:t>
      </w:r>
      <w:r w:rsidR="00D27460" w:rsidRPr="00D2746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7460" w:rsidRPr="00D27460">
        <w:rPr>
          <w:rFonts w:ascii="Arial" w:hAnsi="Arial" w:cs="Arial"/>
          <w:sz w:val="20"/>
          <w:szCs w:val="20"/>
        </w:rPr>
        <w:t>CGCy</w:t>
      </w:r>
      <w:r w:rsidRPr="00D27460">
        <w:rPr>
          <w:rFonts w:ascii="Arial" w:hAnsi="Arial" w:cs="Arial"/>
          <w:sz w:val="20"/>
          <w:szCs w:val="20"/>
        </w:rPr>
        <w:t>E</w:t>
      </w:r>
      <w:r w:rsidR="0056345F">
        <w:rPr>
          <w:rFonts w:ascii="Arial" w:hAnsi="Arial" w:cs="Arial"/>
          <w:sz w:val="20"/>
          <w:szCs w:val="20"/>
        </w:rPr>
        <w:t>d</w:t>
      </w:r>
      <w:proofErr w:type="spellEnd"/>
      <w:r w:rsidR="0056345F">
        <w:rPr>
          <w:rFonts w:ascii="Arial" w:hAnsi="Arial" w:cs="Arial"/>
          <w:sz w:val="20"/>
          <w:szCs w:val="20"/>
        </w:rPr>
        <w:t>.</w:t>
      </w:r>
      <w:r w:rsidRPr="00D27460">
        <w:rPr>
          <w:rFonts w:ascii="Arial" w:hAnsi="Arial" w:cs="Arial"/>
          <w:sz w:val="20"/>
          <w:szCs w:val="20"/>
        </w:rPr>
        <w:t xml:space="preserve"> Nº</w:t>
      </w:r>
      <w:r w:rsidR="0056345F">
        <w:rPr>
          <w:rFonts w:ascii="Arial" w:hAnsi="Arial" w:cs="Arial"/>
          <w:sz w:val="20"/>
          <w:szCs w:val="20"/>
        </w:rPr>
        <w:t xml:space="preserve"> </w:t>
      </w:r>
      <w:r w:rsidRPr="00D27460">
        <w:rPr>
          <w:rFonts w:ascii="Arial" w:hAnsi="Arial" w:cs="Arial"/>
          <w:sz w:val="20"/>
          <w:szCs w:val="20"/>
        </w:rPr>
        <w:t>5044</w:t>
      </w:r>
      <w:r>
        <w:rPr>
          <w:rFonts w:ascii="Arial" w:hAnsi="Arial" w:cs="Arial"/>
          <w:sz w:val="20"/>
          <w:szCs w:val="20"/>
        </w:rPr>
        <w:t>/05. Creación</w:t>
      </w:r>
      <w:r w:rsidR="00D27460">
        <w:rPr>
          <w:rFonts w:ascii="Arial" w:hAnsi="Arial" w:cs="Arial"/>
          <w:sz w:val="20"/>
          <w:szCs w:val="20"/>
        </w:rPr>
        <w:t xml:space="preserve"> de Consejos R</w:t>
      </w:r>
      <w:r>
        <w:rPr>
          <w:rFonts w:ascii="Arial" w:hAnsi="Arial" w:cs="Arial"/>
          <w:sz w:val="20"/>
          <w:szCs w:val="20"/>
        </w:rPr>
        <w:t>egionales de Directores.</w:t>
      </w:r>
    </w:p>
    <w:p w:rsidR="00AB249B" w:rsidRDefault="00B5018A" w:rsidP="006B6D2B">
      <w:pPr>
        <w:suppressAutoHyphens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Artículo</w:t>
      </w:r>
      <w:r w:rsidR="00AB249B">
        <w:rPr>
          <w:rFonts w:ascii="Arial" w:hAnsi="Arial" w:cs="Arial"/>
          <w:sz w:val="20"/>
          <w:szCs w:val="20"/>
        </w:rPr>
        <w:t xml:space="preserve"> 4-  de las funciones y tareas de los Consejos Regionales de Directores</w:t>
      </w:r>
      <w:r w:rsidR="00860AB5">
        <w:rPr>
          <w:rFonts w:ascii="Arial" w:hAnsi="Arial" w:cs="Arial"/>
          <w:sz w:val="20"/>
          <w:szCs w:val="20"/>
        </w:rPr>
        <w:t>:</w:t>
      </w:r>
    </w:p>
    <w:p w:rsidR="00AB249B" w:rsidRDefault="002B1157" w:rsidP="006B6D2B">
      <w:pPr>
        <w:suppressAutoHyphens/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Inc.b</w:t>
      </w:r>
      <w:proofErr w:type="spellEnd"/>
      <w:r w:rsidR="00AB249B">
        <w:rPr>
          <w:rFonts w:ascii="Arial" w:hAnsi="Arial" w:cs="Arial"/>
          <w:sz w:val="20"/>
          <w:szCs w:val="20"/>
        </w:rPr>
        <w:t>) Realizar un análisis permanente del desarrollo local y regional a efectos de detectar necesidades para la formación.</w:t>
      </w:r>
    </w:p>
    <w:p w:rsidR="00AB249B" w:rsidRDefault="002B1157" w:rsidP="006B6D2B">
      <w:pPr>
        <w:suppressAutoHyphens/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Inc.c</w:t>
      </w:r>
      <w:proofErr w:type="spellEnd"/>
      <w:r w:rsidR="00AB249B">
        <w:rPr>
          <w:rFonts w:ascii="Arial" w:hAnsi="Arial" w:cs="Arial"/>
          <w:sz w:val="20"/>
          <w:szCs w:val="20"/>
        </w:rPr>
        <w:t xml:space="preserve">) Orientar y </w:t>
      </w:r>
      <w:r w:rsidR="00AB249B" w:rsidRPr="00AB249B">
        <w:rPr>
          <w:rFonts w:ascii="Arial" w:hAnsi="Arial" w:cs="Arial"/>
          <w:b/>
          <w:sz w:val="20"/>
          <w:szCs w:val="20"/>
        </w:rPr>
        <w:t>proponer</w:t>
      </w:r>
      <w:r w:rsidR="00AB249B">
        <w:rPr>
          <w:rFonts w:ascii="Arial" w:hAnsi="Arial" w:cs="Arial"/>
          <w:b/>
          <w:sz w:val="20"/>
          <w:szCs w:val="20"/>
        </w:rPr>
        <w:t xml:space="preserve">, </w:t>
      </w:r>
      <w:r w:rsidR="00AB249B">
        <w:rPr>
          <w:rFonts w:ascii="Arial" w:hAnsi="Arial" w:cs="Arial"/>
          <w:sz w:val="20"/>
          <w:szCs w:val="20"/>
        </w:rPr>
        <w:t>por la vía jerárquica, la oferta educativa regional a la Dire</w:t>
      </w:r>
      <w:r w:rsidR="00D27460">
        <w:rPr>
          <w:rFonts w:ascii="Arial" w:hAnsi="Arial" w:cs="Arial"/>
          <w:sz w:val="20"/>
          <w:szCs w:val="20"/>
        </w:rPr>
        <w:t>c</w:t>
      </w:r>
      <w:r w:rsidR="00AB249B">
        <w:rPr>
          <w:rFonts w:ascii="Arial" w:hAnsi="Arial" w:cs="Arial"/>
          <w:sz w:val="20"/>
          <w:szCs w:val="20"/>
        </w:rPr>
        <w:t>ción Provincial de Educación Superior.</w:t>
      </w:r>
    </w:p>
    <w:p w:rsidR="00AB249B" w:rsidRDefault="002B1157" w:rsidP="006B6D2B">
      <w:pPr>
        <w:suppressAutoHyphens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Inc.d</w:t>
      </w:r>
      <w:proofErr w:type="spellEnd"/>
      <w:r w:rsidR="00AB249B">
        <w:rPr>
          <w:rFonts w:ascii="Arial" w:hAnsi="Arial" w:cs="Arial"/>
          <w:sz w:val="20"/>
          <w:szCs w:val="20"/>
        </w:rPr>
        <w:t>) Formular un plan estratégico de desarrollo de la Educación Superior para la región.</w:t>
      </w:r>
    </w:p>
    <w:p w:rsidR="00B5018A" w:rsidRDefault="00B5018A" w:rsidP="006B6D2B">
      <w:pPr>
        <w:suppressAutoHyphens/>
        <w:spacing w:line="360" w:lineRule="auto"/>
        <w:ind w:firstLine="1134"/>
        <w:jc w:val="both"/>
        <w:rPr>
          <w:rFonts w:ascii="Arial" w:hAnsi="Arial" w:cs="Arial"/>
          <w:sz w:val="20"/>
          <w:szCs w:val="20"/>
        </w:rPr>
      </w:pPr>
    </w:p>
    <w:p w:rsidR="00D27460" w:rsidRPr="00D27460" w:rsidRDefault="001E1F7C" w:rsidP="006B6D2B">
      <w:pPr>
        <w:pBdr>
          <w:bottom w:val="single" w:sz="4" w:space="1" w:color="auto"/>
        </w:pBdr>
        <w:suppressAutoHyphens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 w:rsidR="00D27460" w:rsidRPr="00D27460">
        <w:rPr>
          <w:rFonts w:ascii="Arial" w:hAnsi="Arial" w:cs="Arial"/>
          <w:b/>
          <w:sz w:val="20"/>
          <w:szCs w:val="20"/>
        </w:rPr>
        <w:t>En cuanto a los Consejos Académicos Institucionales</w:t>
      </w:r>
    </w:p>
    <w:p w:rsidR="00D27460" w:rsidRPr="002A40AC" w:rsidRDefault="00D27460" w:rsidP="006B6D2B">
      <w:pPr>
        <w:suppressAutoHyphens/>
        <w:spacing w:line="360" w:lineRule="auto"/>
        <w:ind w:firstLine="1134"/>
        <w:jc w:val="both"/>
        <w:rPr>
          <w:rFonts w:ascii="Arial" w:hAnsi="Arial" w:cs="Arial"/>
          <w:sz w:val="16"/>
          <w:szCs w:val="16"/>
        </w:rPr>
      </w:pPr>
    </w:p>
    <w:p w:rsidR="00B5018A" w:rsidRDefault="00B5018A" w:rsidP="006B6D2B">
      <w:pPr>
        <w:suppressAutoHyphens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Ley 13688. Art.31: Cada Instituto Superior y/o Unidad Académica constará con un Consejo Académico Institucional, integrado en forma ad honorem por representantes de los diferentes claustros y tendrá como funciones la formulación de la propuesta de apertura continuidad o cierre de carreras.</w:t>
      </w:r>
    </w:p>
    <w:p w:rsidR="00B5018A" w:rsidRPr="002A40AC" w:rsidRDefault="00B5018A" w:rsidP="006B6D2B">
      <w:pPr>
        <w:suppressAutoHyphens/>
        <w:spacing w:line="360" w:lineRule="auto"/>
        <w:ind w:firstLine="1134"/>
        <w:jc w:val="both"/>
        <w:rPr>
          <w:rFonts w:ascii="Arial" w:hAnsi="Arial" w:cs="Arial"/>
          <w:sz w:val="16"/>
          <w:szCs w:val="16"/>
        </w:rPr>
      </w:pPr>
    </w:p>
    <w:p w:rsidR="00AB249B" w:rsidRDefault="00AB249B" w:rsidP="006B6D2B">
      <w:pPr>
        <w:suppressAutoHyphens/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56345F">
        <w:rPr>
          <w:rFonts w:ascii="Arial" w:hAnsi="Arial" w:cs="Arial"/>
          <w:sz w:val="20"/>
          <w:szCs w:val="20"/>
        </w:rPr>
        <w:t>Resolución</w:t>
      </w:r>
      <w:r w:rsidR="0056345F" w:rsidRPr="0056345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6345F" w:rsidRPr="0056345F">
        <w:rPr>
          <w:rFonts w:ascii="Arial" w:hAnsi="Arial" w:cs="Arial"/>
          <w:sz w:val="20"/>
          <w:szCs w:val="20"/>
        </w:rPr>
        <w:t>CGCy</w:t>
      </w:r>
      <w:r w:rsidRPr="0056345F">
        <w:rPr>
          <w:rFonts w:ascii="Arial" w:hAnsi="Arial" w:cs="Arial"/>
          <w:sz w:val="20"/>
          <w:szCs w:val="20"/>
        </w:rPr>
        <w:t>E</w:t>
      </w:r>
      <w:r w:rsidR="0056345F" w:rsidRPr="0056345F">
        <w:rPr>
          <w:rFonts w:ascii="Arial" w:hAnsi="Arial" w:cs="Arial"/>
          <w:sz w:val="20"/>
          <w:szCs w:val="20"/>
        </w:rPr>
        <w:t>d</w:t>
      </w:r>
      <w:proofErr w:type="spellEnd"/>
      <w:r w:rsidR="0056345F" w:rsidRPr="0056345F">
        <w:rPr>
          <w:rFonts w:ascii="Arial" w:hAnsi="Arial" w:cs="Arial"/>
          <w:sz w:val="20"/>
          <w:szCs w:val="20"/>
        </w:rPr>
        <w:t>.</w:t>
      </w:r>
      <w:r w:rsidRPr="0056345F">
        <w:rPr>
          <w:rFonts w:ascii="Arial" w:hAnsi="Arial" w:cs="Arial"/>
          <w:sz w:val="20"/>
          <w:szCs w:val="20"/>
        </w:rPr>
        <w:t xml:space="preserve"> Nº</w:t>
      </w:r>
      <w:r w:rsidR="0056345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4044/09 Naturaleza, constitución y funciones de los Consejos Académicos Institucionales</w:t>
      </w:r>
    </w:p>
    <w:p w:rsidR="00AB249B" w:rsidRDefault="002B1157" w:rsidP="006B6D2B">
      <w:pPr>
        <w:suppressAutoHyphens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lastRenderedPageBreak/>
        <w:t>Inc.c</w:t>
      </w:r>
      <w:proofErr w:type="spellEnd"/>
      <w:r w:rsidR="00AB249B">
        <w:rPr>
          <w:rFonts w:ascii="Arial" w:hAnsi="Arial" w:cs="Arial"/>
          <w:sz w:val="20"/>
          <w:szCs w:val="20"/>
        </w:rPr>
        <w:t xml:space="preserve">) de las funciones: </w:t>
      </w:r>
    </w:p>
    <w:p w:rsidR="00AB249B" w:rsidRDefault="00AB249B" w:rsidP="006B6D2B">
      <w:pPr>
        <w:suppressAutoHyphens/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accionar del Consejo Académico Institucional deberá ajustarse a los marcos normativos vigentes.</w:t>
      </w:r>
    </w:p>
    <w:p w:rsidR="00AB249B" w:rsidRDefault="00AB249B" w:rsidP="006B6D2B">
      <w:pPr>
        <w:suppressAutoHyphens/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1- Dimensión organizacional: Elaborar para su elevación y consideración a los Consejos Regionales de Directores la oferta educativa institucional</w:t>
      </w:r>
      <w:r w:rsidR="00D27460">
        <w:rPr>
          <w:rFonts w:ascii="Arial" w:hAnsi="Arial" w:cs="Arial"/>
          <w:sz w:val="20"/>
          <w:szCs w:val="20"/>
        </w:rPr>
        <w:t>.</w:t>
      </w:r>
    </w:p>
    <w:p w:rsidR="001E1F7C" w:rsidRPr="002A40AC" w:rsidRDefault="001E1F7C" w:rsidP="006B6D2B">
      <w:pPr>
        <w:suppressAutoHyphens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A23A5F" w:rsidRDefault="00D27460" w:rsidP="006B6D2B">
      <w:pPr>
        <w:suppressAutoHyphens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Como</w:t>
      </w:r>
      <w:r w:rsidR="00ED3A0F" w:rsidRPr="001524F9">
        <w:rPr>
          <w:rFonts w:ascii="Arial" w:hAnsi="Arial" w:cs="Arial"/>
          <w:sz w:val="20"/>
          <w:szCs w:val="20"/>
        </w:rPr>
        <w:t xml:space="preserve"> ya es de práctica habitual, c</w:t>
      </w:r>
      <w:r w:rsidR="00A23A5F" w:rsidRPr="001524F9">
        <w:rPr>
          <w:rFonts w:ascii="Arial" w:hAnsi="Arial" w:cs="Arial"/>
          <w:sz w:val="20"/>
          <w:szCs w:val="20"/>
        </w:rPr>
        <w:t>ada Consejo Regional</w:t>
      </w:r>
      <w:r w:rsidR="008331E5">
        <w:rPr>
          <w:rFonts w:ascii="Arial" w:hAnsi="Arial" w:cs="Arial"/>
          <w:sz w:val="20"/>
          <w:szCs w:val="20"/>
        </w:rPr>
        <w:t xml:space="preserve">, con la participación del </w:t>
      </w:r>
      <w:r w:rsidR="0056345F">
        <w:rPr>
          <w:rFonts w:ascii="Arial" w:hAnsi="Arial" w:cs="Arial"/>
          <w:sz w:val="20"/>
          <w:szCs w:val="20"/>
        </w:rPr>
        <w:t>I</w:t>
      </w:r>
      <w:r w:rsidR="008331E5">
        <w:rPr>
          <w:rFonts w:ascii="Arial" w:hAnsi="Arial" w:cs="Arial"/>
          <w:sz w:val="20"/>
          <w:szCs w:val="20"/>
        </w:rPr>
        <w:t xml:space="preserve">nspector del </w:t>
      </w:r>
      <w:r w:rsidR="0056345F">
        <w:rPr>
          <w:rFonts w:ascii="Arial" w:hAnsi="Arial" w:cs="Arial"/>
          <w:sz w:val="20"/>
          <w:szCs w:val="20"/>
        </w:rPr>
        <w:t>N</w:t>
      </w:r>
      <w:r w:rsidR="008331E5">
        <w:rPr>
          <w:rFonts w:ascii="Arial" w:hAnsi="Arial" w:cs="Arial"/>
          <w:sz w:val="20"/>
          <w:szCs w:val="20"/>
        </w:rPr>
        <w:t>ivel y/o Inspector Jefe Regional,</w:t>
      </w:r>
      <w:r w:rsidR="00A23A5F" w:rsidRPr="001524F9">
        <w:rPr>
          <w:rFonts w:ascii="Arial" w:hAnsi="Arial" w:cs="Arial"/>
          <w:sz w:val="20"/>
          <w:szCs w:val="20"/>
        </w:rPr>
        <w:t xml:space="preserve"> deberá analizar de manera conjunta la totalidad de la</w:t>
      </w:r>
      <w:r w:rsidR="006A5DDF" w:rsidRPr="001524F9">
        <w:rPr>
          <w:rFonts w:ascii="Arial" w:hAnsi="Arial" w:cs="Arial"/>
          <w:sz w:val="20"/>
          <w:szCs w:val="20"/>
        </w:rPr>
        <w:t>s propuestas a nivel</w:t>
      </w:r>
      <w:r w:rsidR="00A23A5F" w:rsidRPr="001524F9">
        <w:rPr>
          <w:rFonts w:ascii="Arial" w:hAnsi="Arial" w:cs="Arial"/>
          <w:sz w:val="20"/>
          <w:szCs w:val="20"/>
        </w:rPr>
        <w:t xml:space="preserve"> regional, </w:t>
      </w:r>
      <w:r w:rsidR="006A5DDF" w:rsidRPr="001524F9">
        <w:rPr>
          <w:rFonts w:ascii="Arial" w:hAnsi="Arial" w:cs="Arial"/>
          <w:sz w:val="20"/>
          <w:szCs w:val="20"/>
        </w:rPr>
        <w:t>teniendo en cuenta</w:t>
      </w:r>
      <w:r w:rsidR="00A23A5F" w:rsidRPr="001524F9">
        <w:rPr>
          <w:rFonts w:ascii="Arial" w:hAnsi="Arial" w:cs="Arial"/>
          <w:sz w:val="20"/>
          <w:szCs w:val="20"/>
        </w:rPr>
        <w:t xml:space="preserve"> criterios de pertinencia, viabilidad, </w:t>
      </w:r>
      <w:r w:rsidR="00ED3A0F" w:rsidRPr="001524F9">
        <w:rPr>
          <w:rFonts w:ascii="Arial" w:hAnsi="Arial" w:cs="Arial"/>
          <w:sz w:val="20"/>
          <w:szCs w:val="20"/>
        </w:rPr>
        <w:t xml:space="preserve">presupuesto regional y su </w:t>
      </w:r>
      <w:r w:rsidR="00A23A5F" w:rsidRPr="001524F9">
        <w:rPr>
          <w:rFonts w:ascii="Arial" w:hAnsi="Arial" w:cs="Arial"/>
          <w:sz w:val="20"/>
          <w:szCs w:val="20"/>
        </w:rPr>
        <w:t>proyección trienal, necesidad local y regional de la oferta.</w:t>
      </w:r>
    </w:p>
    <w:p w:rsidR="001E1F7C" w:rsidRPr="002A40AC" w:rsidRDefault="001E1F7C" w:rsidP="006B6D2B">
      <w:pPr>
        <w:suppressAutoHyphens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6807D8" w:rsidRDefault="004C5672" w:rsidP="006B6D2B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Teniendo </w:t>
      </w:r>
      <w:r w:rsidR="008331E5">
        <w:rPr>
          <w:rFonts w:ascii="Arial" w:hAnsi="Arial" w:cs="Arial"/>
          <w:sz w:val="20"/>
          <w:szCs w:val="20"/>
        </w:rPr>
        <w:t>en cuenta que en el 2016</w:t>
      </w:r>
      <w:r w:rsidR="0043299E">
        <w:rPr>
          <w:rFonts w:ascii="Arial" w:hAnsi="Arial" w:cs="Arial"/>
          <w:sz w:val="20"/>
          <w:szCs w:val="20"/>
        </w:rPr>
        <w:t xml:space="preserve"> se implementarán los </w:t>
      </w:r>
      <w:r w:rsidR="002E76BE">
        <w:rPr>
          <w:rFonts w:ascii="Arial" w:hAnsi="Arial" w:cs="Arial"/>
          <w:sz w:val="20"/>
          <w:szCs w:val="20"/>
        </w:rPr>
        <w:t xml:space="preserve">nuevos diseños curriculares de los Profesorados en </w:t>
      </w:r>
      <w:r w:rsidR="006807D8">
        <w:rPr>
          <w:rFonts w:ascii="Arial" w:hAnsi="Arial" w:cs="Arial"/>
          <w:sz w:val="20"/>
          <w:szCs w:val="20"/>
        </w:rPr>
        <w:t xml:space="preserve">Lengua y Literatura, </w:t>
      </w:r>
      <w:r w:rsidR="002E76BE">
        <w:rPr>
          <w:rFonts w:ascii="Arial" w:hAnsi="Arial" w:cs="Arial"/>
          <w:sz w:val="20"/>
          <w:szCs w:val="20"/>
        </w:rPr>
        <w:t>Historia, Geografía, Biología, Fí</w:t>
      </w:r>
      <w:r w:rsidR="006807D8">
        <w:rPr>
          <w:rFonts w:ascii="Arial" w:hAnsi="Arial" w:cs="Arial"/>
          <w:sz w:val="20"/>
          <w:szCs w:val="20"/>
        </w:rPr>
        <w:t xml:space="preserve">sica, </w:t>
      </w:r>
      <w:r w:rsidR="002E76BE">
        <w:rPr>
          <w:rFonts w:ascii="Arial" w:hAnsi="Arial" w:cs="Arial"/>
          <w:sz w:val="20"/>
          <w:szCs w:val="20"/>
        </w:rPr>
        <w:t>Química</w:t>
      </w:r>
      <w:r w:rsidR="006807D8">
        <w:rPr>
          <w:rFonts w:ascii="Arial" w:hAnsi="Arial" w:cs="Arial"/>
          <w:sz w:val="20"/>
          <w:szCs w:val="20"/>
        </w:rPr>
        <w:t xml:space="preserve"> y Matemática, poner especial atención en la apertura de los primeros años ya que no se contempla para los</w:t>
      </w:r>
      <w:r w:rsidR="0034339A">
        <w:rPr>
          <w:rFonts w:ascii="Arial" w:hAnsi="Arial" w:cs="Arial"/>
          <w:sz w:val="20"/>
          <w:szCs w:val="20"/>
        </w:rPr>
        <w:t xml:space="preserve"> mismos los troncos comunes. Para los 2°, 3° y 4° años continúan las Resoluciones vigentes.</w:t>
      </w:r>
    </w:p>
    <w:p w:rsidR="004C5672" w:rsidRPr="00A37031" w:rsidRDefault="006807D8" w:rsidP="006B6D2B">
      <w:pPr>
        <w:suppressAutoHyphens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608E4" w:rsidRDefault="0034339A" w:rsidP="006B6D2B">
      <w:pPr>
        <w:suppressAutoHyphens/>
        <w:spacing w:line="360" w:lineRule="auto"/>
        <w:ind w:firstLine="708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Continúa</w:t>
      </w:r>
      <w:r w:rsidR="00971EB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B21D58">
        <w:rPr>
          <w:rFonts w:ascii="Arial" w:hAnsi="Arial" w:cs="Arial"/>
          <w:sz w:val="20"/>
          <w:szCs w:val="20"/>
          <w:shd w:val="clear" w:color="auto" w:fill="FFFFFF"/>
        </w:rPr>
        <w:t xml:space="preserve">la misma recomendación de </w:t>
      </w:r>
      <w:r w:rsidR="00B21D58" w:rsidRPr="001524F9">
        <w:rPr>
          <w:rFonts w:ascii="Arial" w:hAnsi="Arial" w:cs="Arial"/>
          <w:sz w:val="20"/>
          <w:szCs w:val="20"/>
          <w:shd w:val="clear" w:color="auto" w:fill="FFFFFF"/>
        </w:rPr>
        <w:t xml:space="preserve">no innovar en lo que se refiere a </w:t>
      </w:r>
      <w:r w:rsidR="00B21D58">
        <w:rPr>
          <w:rFonts w:ascii="Arial" w:hAnsi="Arial" w:cs="Arial"/>
          <w:sz w:val="20"/>
          <w:szCs w:val="20"/>
          <w:shd w:val="clear" w:color="auto" w:fill="FFFFFF"/>
        </w:rPr>
        <w:t xml:space="preserve">la </w:t>
      </w:r>
      <w:r w:rsidR="00B21D58" w:rsidRPr="001524F9">
        <w:rPr>
          <w:rFonts w:ascii="Arial" w:hAnsi="Arial" w:cs="Arial"/>
          <w:sz w:val="20"/>
          <w:szCs w:val="20"/>
          <w:shd w:val="clear" w:color="auto" w:fill="FFFFFF"/>
        </w:rPr>
        <w:t>oferta</w:t>
      </w:r>
      <w:r w:rsidR="00B21D58" w:rsidRPr="00B21D5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B21D58">
        <w:rPr>
          <w:rFonts w:ascii="Arial" w:hAnsi="Arial" w:cs="Arial"/>
          <w:sz w:val="20"/>
          <w:szCs w:val="20"/>
          <w:shd w:val="clear" w:color="auto" w:fill="FFFFFF"/>
        </w:rPr>
        <w:t xml:space="preserve">de los </w:t>
      </w:r>
      <w:r w:rsidR="00B21D58" w:rsidRPr="001524F9">
        <w:rPr>
          <w:rFonts w:ascii="Arial" w:hAnsi="Arial" w:cs="Arial"/>
          <w:sz w:val="20"/>
          <w:szCs w:val="20"/>
          <w:shd w:val="clear" w:color="auto" w:fill="FFFFFF"/>
        </w:rPr>
        <w:t>Profesorado</w:t>
      </w:r>
      <w:r w:rsidR="00971EBB">
        <w:rPr>
          <w:rFonts w:ascii="Arial" w:hAnsi="Arial" w:cs="Arial"/>
          <w:sz w:val="20"/>
          <w:szCs w:val="20"/>
          <w:shd w:val="clear" w:color="auto" w:fill="FFFFFF"/>
        </w:rPr>
        <w:t>s</w:t>
      </w:r>
      <w:r w:rsidR="00B21D58" w:rsidRPr="001524F9">
        <w:rPr>
          <w:rFonts w:ascii="Arial" w:hAnsi="Arial" w:cs="Arial"/>
          <w:sz w:val="20"/>
          <w:szCs w:val="20"/>
          <w:shd w:val="clear" w:color="auto" w:fill="FFFFFF"/>
        </w:rPr>
        <w:t xml:space="preserve"> en Psicología</w:t>
      </w:r>
      <w:r w:rsidR="00B21D58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B21D58" w:rsidRPr="001524F9">
        <w:rPr>
          <w:rFonts w:ascii="Arial" w:hAnsi="Arial" w:cs="Arial"/>
          <w:sz w:val="20"/>
          <w:szCs w:val="20"/>
          <w:shd w:val="clear" w:color="auto" w:fill="FFFFFF"/>
        </w:rPr>
        <w:t>Ciencias Políticas</w:t>
      </w:r>
      <w:r w:rsidR="003069D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B21D58">
        <w:rPr>
          <w:rFonts w:ascii="Arial" w:hAnsi="Arial" w:cs="Arial"/>
          <w:sz w:val="20"/>
          <w:szCs w:val="20"/>
          <w:shd w:val="clear" w:color="auto" w:fill="FFFFFF"/>
        </w:rPr>
        <w:t xml:space="preserve">y </w:t>
      </w:r>
      <w:r w:rsidR="003069D7">
        <w:rPr>
          <w:rFonts w:ascii="Arial" w:hAnsi="Arial" w:cs="Arial"/>
          <w:sz w:val="20"/>
          <w:szCs w:val="20"/>
          <w:shd w:val="clear" w:color="auto" w:fill="FFFFFF"/>
        </w:rPr>
        <w:t>en Tecnologías</w:t>
      </w:r>
      <w:r w:rsidR="00CE41A0">
        <w:rPr>
          <w:rFonts w:ascii="Arial" w:hAnsi="Arial" w:cs="Arial"/>
          <w:sz w:val="20"/>
          <w:szCs w:val="20"/>
          <w:shd w:val="clear" w:color="auto" w:fill="FFFFFF"/>
        </w:rPr>
        <w:t xml:space="preserve"> (las cuatro orientaciones)</w:t>
      </w:r>
      <w:r w:rsidR="00B21D58" w:rsidRPr="001524F9">
        <w:rPr>
          <w:rFonts w:ascii="Arial" w:hAnsi="Arial" w:cs="Arial"/>
          <w:sz w:val="20"/>
          <w:szCs w:val="20"/>
          <w:shd w:val="clear" w:color="auto" w:fill="FFFFFF"/>
        </w:rPr>
        <w:t>, es decir</w:t>
      </w:r>
      <w:r w:rsidR="00E121CA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B21D58" w:rsidRPr="001524F9">
        <w:rPr>
          <w:rFonts w:ascii="Arial" w:hAnsi="Arial" w:cs="Arial"/>
          <w:sz w:val="20"/>
          <w:szCs w:val="20"/>
          <w:shd w:val="clear" w:color="auto" w:fill="FFFFFF"/>
        </w:rPr>
        <w:t xml:space="preserve"> que</w:t>
      </w:r>
      <w:r w:rsidR="00E121CA">
        <w:rPr>
          <w:rFonts w:ascii="Arial" w:hAnsi="Arial" w:cs="Arial"/>
          <w:sz w:val="20"/>
          <w:szCs w:val="20"/>
          <w:shd w:val="clear" w:color="auto" w:fill="FFFFFF"/>
        </w:rPr>
        <w:t xml:space="preserve"> solo</w:t>
      </w:r>
      <w:r w:rsidR="00B21D58" w:rsidRPr="001524F9">
        <w:rPr>
          <w:rFonts w:ascii="Arial" w:hAnsi="Arial" w:cs="Arial"/>
          <w:sz w:val="20"/>
          <w:szCs w:val="20"/>
          <w:shd w:val="clear" w:color="auto" w:fill="FFFFFF"/>
        </w:rPr>
        <w:t xml:space="preserve"> los Institutos que ya tienen la/s Carrera/s podrán continuar con el ingreso a las mismas</w:t>
      </w:r>
      <w:r w:rsidR="00E121CA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B21D58" w:rsidRPr="001524F9">
        <w:rPr>
          <w:rFonts w:ascii="Arial" w:hAnsi="Arial" w:cs="Arial"/>
          <w:sz w:val="20"/>
          <w:szCs w:val="20"/>
          <w:shd w:val="clear" w:color="auto" w:fill="FFFFFF"/>
        </w:rPr>
        <w:t xml:space="preserve"> si la Institución y el Consejo de Directores</w:t>
      </w:r>
      <w:r w:rsidR="00CE41A0">
        <w:rPr>
          <w:rFonts w:ascii="Arial" w:hAnsi="Arial" w:cs="Arial"/>
          <w:sz w:val="20"/>
          <w:szCs w:val="20"/>
          <w:shd w:val="clear" w:color="auto" w:fill="FFFFFF"/>
        </w:rPr>
        <w:t xml:space="preserve"> de su Región así lo consideran, de la misma manera para las Tecnicaturas en Mecánica Liviana y Ene</w:t>
      </w:r>
      <w:r w:rsidR="002A7D4C">
        <w:rPr>
          <w:rFonts w:ascii="Arial" w:hAnsi="Arial" w:cs="Arial"/>
          <w:sz w:val="20"/>
          <w:szCs w:val="20"/>
          <w:shd w:val="clear" w:color="auto" w:fill="FFFFFF"/>
        </w:rPr>
        <w:t>r</w:t>
      </w:r>
      <w:r w:rsidR="00CE41A0">
        <w:rPr>
          <w:rFonts w:ascii="Arial" w:hAnsi="Arial" w:cs="Arial"/>
          <w:sz w:val="20"/>
          <w:szCs w:val="20"/>
          <w:shd w:val="clear" w:color="auto" w:fill="FFFFFF"/>
        </w:rPr>
        <w:t>gía con orientación</w:t>
      </w:r>
      <w:r w:rsidR="002A7D4C">
        <w:rPr>
          <w:rFonts w:ascii="Arial" w:hAnsi="Arial" w:cs="Arial"/>
          <w:sz w:val="20"/>
          <w:szCs w:val="20"/>
          <w:shd w:val="clear" w:color="auto" w:fill="FFFFFF"/>
        </w:rPr>
        <w:t xml:space="preserve"> Industrial.</w:t>
      </w:r>
    </w:p>
    <w:p w:rsidR="005608E4" w:rsidRPr="00A37031" w:rsidRDefault="005608E4" w:rsidP="006B6D2B">
      <w:pPr>
        <w:suppressAutoHyphens/>
        <w:spacing w:line="360" w:lineRule="auto"/>
        <w:ind w:firstLine="708"/>
        <w:jc w:val="both"/>
        <w:rPr>
          <w:rFonts w:ascii="Arial" w:hAnsi="Arial" w:cs="Arial"/>
          <w:sz w:val="16"/>
          <w:szCs w:val="16"/>
          <w:shd w:val="clear" w:color="auto" w:fill="FFFFFF"/>
        </w:rPr>
      </w:pPr>
    </w:p>
    <w:p w:rsidR="00B21D58" w:rsidRDefault="005608E4" w:rsidP="006B6D2B">
      <w:pPr>
        <w:suppressAutoHyphens/>
        <w:spacing w:line="360" w:lineRule="auto"/>
        <w:ind w:firstLine="708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Se recuerda a los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Sres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/as Directores/as, la importancia de la lectura y análisis de los Diseños a </w:t>
      </w:r>
      <w:r w:rsidR="00015D84">
        <w:rPr>
          <w:rFonts w:ascii="Arial" w:hAnsi="Arial" w:cs="Arial"/>
          <w:sz w:val="20"/>
          <w:szCs w:val="20"/>
          <w:shd w:val="clear" w:color="auto" w:fill="FFFFFF"/>
        </w:rPr>
        <w:t>i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mplementar, teniendo en cuenta las necesidades de RR.HH especializados, los entornos formativos para prácticas (en el caso de la Formación Técnica) y los acuerdos con el contexto para </w:t>
      </w:r>
      <w:r w:rsidR="00015D84">
        <w:rPr>
          <w:rFonts w:ascii="Arial" w:hAnsi="Arial" w:cs="Arial"/>
          <w:sz w:val="20"/>
          <w:szCs w:val="20"/>
          <w:shd w:val="clear" w:color="auto" w:fill="FFFFFF"/>
        </w:rPr>
        <w:t xml:space="preserve">la implementación tanto de las Prácticas Docentes como las </w:t>
      </w:r>
      <w:r>
        <w:rPr>
          <w:rFonts w:ascii="Arial" w:hAnsi="Arial" w:cs="Arial"/>
          <w:sz w:val="20"/>
          <w:szCs w:val="20"/>
          <w:shd w:val="clear" w:color="auto" w:fill="FFFFFF"/>
        </w:rPr>
        <w:t>Prácticas</w:t>
      </w:r>
      <w:r w:rsidR="00B21D58" w:rsidRPr="001524F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t>Profesionalizantes</w:t>
      </w:r>
      <w:r w:rsidR="00015D84">
        <w:rPr>
          <w:rFonts w:ascii="Arial" w:hAnsi="Arial" w:cs="Arial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B21D58" w:rsidRPr="00A37031" w:rsidRDefault="00B21D58" w:rsidP="006B6D2B">
      <w:pPr>
        <w:suppressAutoHyphens/>
        <w:spacing w:line="360" w:lineRule="auto"/>
        <w:ind w:firstLine="708"/>
        <w:jc w:val="both"/>
        <w:rPr>
          <w:rFonts w:ascii="Arial" w:hAnsi="Arial" w:cs="Arial"/>
          <w:sz w:val="16"/>
          <w:szCs w:val="16"/>
          <w:shd w:val="clear" w:color="auto" w:fill="FFFFFF"/>
        </w:rPr>
      </w:pPr>
    </w:p>
    <w:p w:rsidR="00FF3763" w:rsidRDefault="00A05EAD" w:rsidP="00FF3763">
      <w:pPr>
        <w:suppressAutoHyphens/>
        <w:spacing w:line="360" w:lineRule="auto"/>
        <w:ind w:firstLine="708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1524F9">
        <w:rPr>
          <w:rFonts w:ascii="Arial" w:hAnsi="Arial" w:cs="Arial"/>
          <w:sz w:val="20"/>
          <w:szCs w:val="20"/>
          <w:shd w:val="clear" w:color="auto" w:fill="FFFFFF"/>
        </w:rPr>
        <w:t>Respecto a</w:t>
      </w:r>
      <w:r w:rsidR="00E121CA">
        <w:rPr>
          <w:rFonts w:ascii="Arial" w:hAnsi="Arial" w:cs="Arial"/>
          <w:sz w:val="20"/>
          <w:szCs w:val="20"/>
          <w:shd w:val="clear" w:color="auto" w:fill="FFFFFF"/>
        </w:rPr>
        <w:t xml:space="preserve"> la </w:t>
      </w:r>
      <w:r w:rsidR="00E121CA" w:rsidRPr="002A40AC">
        <w:rPr>
          <w:rFonts w:ascii="Arial" w:hAnsi="Arial" w:cs="Arial"/>
          <w:b/>
          <w:sz w:val="20"/>
          <w:szCs w:val="20"/>
          <w:shd w:val="clear" w:color="auto" w:fill="FFFFFF"/>
        </w:rPr>
        <w:t>Oferta de Formación Continua, es decir</w:t>
      </w:r>
      <w:r w:rsidRPr="002A40AC">
        <w:rPr>
          <w:rFonts w:ascii="Arial" w:hAnsi="Arial" w:cs="Arial"/>
          <w:b/>
          <w:sz w:val="20"/>
          <w:szCs w:val="20"/>
          <w:shd w:val="clear" w:color="auto" w:fill="FFFFFF"/>
        </w:rPr>
        <w:t xml:space="preserve"> los Tramos de Formación Pedagógica</w:t>
      </w:r>
      <w:r w:rsidR="00E121CA" w:rsidRPr="002A40AC">
        <w:rPr>
          <w:rFonts w:ascii="Arial" w:hAnsi="Arial" w:cs="Arial"/>
          <w:b/>
          <w:sz w:val="20"/>
          <w:szCs w:val="20"/>
          <w:shd w:val="clear" w:color="auto" w:fill="FFFFFF"/>
        </w:rPr>
        <w:t xml:space="preserve">, </w:t>
      </w:r>
      <w:proofErr w:type="spellStart"/>
      <w:r w:rsidR="00E121CA" w:rsidRPr="002A40AC">
        <w:rPr>
          <w:rFonts w:ascii="Arial" w:hAnsi="Arial" w:cs="Arial"/>
          <w:b/>
          <w:sz w:val="20"/>
          <w:szCs w:val="20"/>
          <w:shd w:val="clear" w:color="auto" w:fill="FFFFFF"/>
        </w:rPr>
        <w:t>Postítulos</w:t>
      </w:r>
      <w:proofErr w:type="spellEnd"/>
      <w:r w:rsidR="00E121CA" w:rsidRPr="002A40AC">
        <w:rPr>
          <w:rFonts w:ascii="Arial" w:hAnsi="Arial" w:cs="Arial"/>
          <w:b/>
          <w:sz w:val="20"/>
          <w:szCs w:val="20"/>
          <w:shd w:val="clear" w:color="auto" w:fill="FFFFFF"/>
        </w:rPr>
        <w:t xml:space="preserve"> y Certificaciones</w:t>
      </w:r>
      <w:r w:rsidR="00015D84" w:rsidRPr="002A40AC">
        <w:rPr>
          <w:rFonts w:ascii="Arial" w:hAnsi="Arial" w:cs="Arial"/>
          <w:b/>
          <w:sz w:val="20"/>
          <w:szCs w:val="20"/>
          <w:shd w:val="clear" w:color="auto" w:fill="FFFFFF"/>
        </w:rPr>
        <w:t xml:space="preserve"> de FP</w:t>
      </w:r>
      <w:r w:rsidR="00C03F1B">
        <w:rPr>
          <w:rFonts w:ascii="Arial" w:hAnsi="Arial" w:cs="Arial"/>
          <w:sz w:val="20"/>
          <w:szCs w:val="20"/>
          <w:shd w:val="clear" w:color="auto" w:fill="FFFFFF"/>
        </w:rPr>
        <w:t>;</w:t>
      </w:r>
      <w:r w:rsidR="00E121CA">
        <w:rPr>
          <w:rFonts w:ascii="Arial" w:hAnsi="Arial" w:cs="Arial"/>
          <w:sz w:val="20"/>
          <w:szCs w:val="20"/>
          <w:shd w:val="clear" w:color="auto" w:fill="FFFFFF"/>
        </w:rPr>
        <w:t xml:space="preserve"> la misma será considerada </w:t>
      </w:r>
      <w:r w:rsidR="00C03F1B">
        <w:rPr>
          <w:rFonts w:ascii="Arial" w:hAnsi="Arial" w:cs="Arial"/>
          <w:sz w:val="20"/>
          <w:szCs w:val="20"/>
          <w:shd w:val="clear" w:color="auto" w:fill="FFFFFF"/>
        </w:rPr>
        <w:t xml:space="preserve">por la Dirección de Educación Superior con posterioridad al tratamiento de la Oferta de Formación Inicial, comunicando oportunamente </w:t>
      </w:r>
      <w:r w:rsidR="002A40AC">
        <w:rPr>
          <w:rFonts w:ascii="Arial" w:hAnsi="Arial" w:cs="Arial"/>
          <w:sz w:val="20"/>
          <w:szCs w:val="20"/>
          <w:shd w:val="clear" w:color="auto" w:fill="FFFFFF"/>
        </w:rPr>
        <w:t xml:space="preserve">las </w:t>
      </w:r>
      <w:r w:rsidR="00C03F1B">
        <w:rPr>
          <w:rFonts w:ascii="Arial" w:hAnsi="Arial" w:cs="Arial"/>
          <w:sz w:val="20"/>
          <w:szCs w:val="20"/>
          <w:shd w:val="clear" w:color="auto" w:fill="FFFFFF"/>
        </w:rPr>
        <w:t>localizaciones</w:t>
      </w:r>
      <w:r w:rsidR="002A40AC">
        <w:rPr>
          <w:rFonts w:ascii="Arial" w:hAnsi="Arial" w:cs="Arial"/>
          <w:sz w:val="20"/>
          <w:szCs w:val="20"/>
          <w:shd w:val="clear" w:color="auto" w:fill="FFFFFF"/>
        </w:rPr>
        <w:t xml:space="preserve"> en un Anexo de la Disposición de Carreras</w:t>
      </w:r>
      <w:r w:rsidR="00A37031">
        <w:rPr>
          <w:rFonts w:ascii="Arial" w:hAnsi="Arial" w:cs="Arial"/>
          <w:sz w:val="20"/>
          <w:szCs w:val="20"/>
          <w:shd w:val="clear" w:color="auto" w:fill="FFFFFF"/>
        </w:rPr>
        <w:t xml:space="preserve"> 2016</w:t>
      </w:r>
      <w:r w:rsidR="00C03F1B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2A40A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FF3763" w:rsidRPr="00FF3763" w:rsidRDefault="00FF3763" w:rsidP="00FF3763">
      <w:pPr>
        <w:suppressAutoHyphens/>
        <w:spacing w:line="360" w:lineRule="auto"/>
        <w:ind w:firstLine="708"/>
        <w:jc w:val="both"/>
        <w:rPr>
          <w:rFonts w:ascii="Arial" w:hAnsi="Arial" w:cs="Arial"/>
          <w:sz w:val="16"/>
          <w:szCs w:val="16"/>
          <w:shd w:val="clear" w:color="auto" w:fill="FFFFFF"/>
        </w:rPr>
      </w:pPr>
    </w:p>
    <w:p w:rsidR="00C03F1B" w:rsidRDefault="00A37031" w:rsidP="0092582D">
      <w:pPr>
        <w:pBdr>
          <w:bottom w:val="single" w:sz="4" w:space="1" w:color="auto"/>
        </w:pBdr>
        <w:suppressAutoHyphens/>
        <w:spacing w:line="360" w:lineRule="auto"/>
        <w:ind w:firstLine="708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Teniendo en cuenta la heterogeneidad territorial respecto a las aperturas y cierres de la</w:t>
      </w:r>
      <w:r w:rsidR="0009246B">
        <w:rPr>
          <w:rFonts w:ascii="Arial" w:hAnsi="Arial" w:cs="Arial"/>
          <w:sz w:val="20"/>
          <w:szCs w:val="20"/>
          <w:shd w:val="clear" w:color="auto" w:fill="FFFFFF"/>
        </w:rPr>
        <w:t xml:space="preserve">s cohortes </w:t>
      </w:r>
      <w:r w:rsidR="00FF3763">
        <w:rPr>
          <w:rFonts w:ascii="Arial" w:hAnsi="Arial" w:cs="Arial"/>
          <w:sz w:val="20"/>
          <w:szCs w:val="20"/>
          <w:shd w:val="clear" w:color="auto" w:fill="FFFFFF"/>
        </w:rPr>
        <w:t xml:space="preserve">de los </w:t>
      </w:r>
      <w:r w:rsidR="00FF3763" w:rsidRPr="00FF3763">
        <w:rPr>
          <w:rFonts w:ascii="Arial" w:hAnsi="Arial" w:cs="Arial"/>
          <w:b/>
          <w:sz w:val="20"/>
          <w:szCs w:val="20"/>
          <w:shd w:val="clear" w:color="auto" w:fill="FFFFFF"/>
        </w:rPr>
        <w:t>Tramos de Formación Pedagógica</w:t>
      </w:r>
      <w:r w:rsidR="00FF376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09246B">
        <w:rPr>
          <w:rFonts w:ascii="Arial" w:hAnsi="Arial" w:cs="Arial"/>
          <w:sz w:val="20"/>
          <w:szCs w:val="20"/>
          <w:shd w:val="clear" w:color="auto" w:fill="FFFFFF"/>
        </w:rPr>
        <w:t>autorizadas por Res.</w:t>
      </w:r>
      <w:r w:rsidR="00FF376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09246B">
        <w:rPr>
          <w:rFonts w:ascii="Arial" w:hAnsi="Arial" w:cs="Arial"/>
          <w:sz w:val="20"/>
          <w:szCs w:val="20"/>
          <w:shd w:val="clear" w:color="auto" w:fill="FFFFFF"/>
        </w:rPr>
        <w:t>N° 2</w:t>
      </w:r>
      <w:r w:rsidR="00073743">
        <w:rPr>
          <w:rFonts w:ascii="Arial" w:hAnsi="Arial" w:cs="Arial"/>
          <w:sz w:val="20"/>
          <w:szCs w:val="20"/>
          <w:shd w:val="clear" w:color="auto" w:fill="FFFFFF"/>
        </w:rPr>
        <w:t>5</w:t>
      </w:r>
      <w:r w:rsidR="0009246B">
        <w:rPr>
          <w:rFonts w:ascii="Arial" w:hAnsi="Arial" w:cs="Arial"/>
          <w:sz w:val="20"/>
          <w:szCs w:val="20"/>
          <w:shd w:val="clear" w:color="auto" w:fill="FFFFFF"/>
        </w:rPr>
        <w:t>05/13 y 2506/13 es ne</w:t>
      </w:r>
      <w:r w:rsidR="006B6D2B">
        <w:rPr>
          <w:rFonts w:ascii="Arial" w:hAnsi="Arial" w:cs="Arial"/>
          <w:sz w:val="20"/>
          <w:szCs w:val="20"/>
          <w:shd w:val="clear" w:color="auto" w:fill="FFFFFF"/>
        </w:rPr>
        <w:t>cesario que cada Región informe: Instituto/s que están implementando la Oferta, Nivel/es, cohorte que están transitando</w:t>
      </w:r>
      <w:r w:rsidR="0007374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bookmarkStart w:id="0" w:name="_GoBack"/>
      <w:bookmarkEnd w:id="0"/>
      <w:r w:rsidR="00073743">
        <w:rPr>
          <w:rFonts w:ascii="Arial" w:hAnsi="Arial" w:cs="Arial"/>
          <w:sz w:val="20"/>
          <w:szCs w:val="20"/>
          <w:shd w:val="clear" w:color="auto" w:fill="FFFFFF"/>
        </w:rPr>
        <w:t>y</w:t>
      </w:r>
      <w:r w:rsidR="006B6D2B">
        <w:rPr>
          <w:rFonts w:ascii="Arial" w:hAnsi="Arial" w:cs="Arial"/>
          <w:sz w:val="20"/>
          <w:szCs w:val="20"/>
          <w:shd w:val="clear" w:color="auto" w:fill="FFFFFF"/>
        </w:rPr>
        <w:t xml:space="preserve"> fecha de apertura y cierre de cada cohorte</w:t>
      </w:r>
      <w:r w:rsidR="00073743">
        <w:rPr>
          <w:rFonts w:ascii="Arial" w:hAnsi="Arial" w:cs="Arial"/>
          <w:sz w:val="20"/>
          <w:szCs w:val="20"/>
          <w:shd w:val="clear" w:color="auto" w:fill="FFFFFF"/>
        </w:rPr>
        <w:t xml:space="preserve">; también </w:t>
      </w:r>
      <w:r w:rsidR="00FF3763">
        <w:rPr>
          <w:rFonts w:ascii="Arial" w:hAnsi="Arial" w:cs="Arial"/>
          <w:sz w:val="20"/>
          <w:szCs w:val="20"/>
          <w:shd w:val="clear" w:color="auto" w:fill="FFFFFF"/>
        </w:rPr>
        <w:t xml:space="preserve">deberán presentar </w:t>
      </w:r>
      <w:r w:rsidR="00C9612A">
        <w:rPr>
          <w:rFonts w:ascii="Arial" w:hAnsi="Arial" w:cs="Arial"/>
          <w:sz w:val="20"/>
          <w:szCs w:val="20"/>
          <w:shd w:val="clear" w:color="auto" w:fill="FFFFFF"/>
        </w:rPr>
        <w:t xml:space="preserve">–junto con la Propuesta Regional de Oferta de Carreras 2016- </w:t>
      </w:r>
      <w:r w:rsidR="00073743">
        <w:rPr>
          <w:rFonts w:ascii="Arial" w:hAnsi="Arial" w:cs="Arial"/>
          <w:sz w:val="20"/>
          <w:szCs w:val="20"/>
          <w:shd w:val="clear" w:color="auto" w:fill="FFFFFF"/>
        </w:rPr>
        <w:t>una propuesta Regional de localización de los Tramos para el 2016</w:t>
      </w:r>
      <w:r w:rsidR="00FF3763">
        <w:rPr>
          <w:rFonts w:ascii="Arial" w:hAnsi="Arial" w:cs="Arial"/>
          <w:sz w:val="20"/>
          <w:szCs w:val="20"/>
          <w:shd w:val="clear" w:color="auto" w:fill="FFFFFF"/>
        </w:rPr>
        <w:t xml:space="preserve"> consensuada con los Inspectores Jefes Regionales, teniendo en cuenta las necesidades originadas en el proceso de estabilidad laboral y que está siendo comunicada a cada una de las Regiones.</w:t>
      </w:r>
      <w:r w:rsidR="00C9612A">
        <w:rPr>
          <w:rFonts w:ascii="Arial" w:hAnsi="Arial" w:cs="Arial"/>
          <w:sz w:val="20"/>
          <w:szCs w:val="20"/>
          <w:shd w:val="clear" w:color="auto" w:fill="FFFFFF"/>
        </w:rPr>
        <w:t xml:space="preserve"> Les recordamos que el presupuesto asignado a los mismos es ad-hoc y no puede ser reasignado a ninguna otra oferta, pero sí cambiar a otra Institución y Distrito.</w:t>
      </w:r>
    </w:p>
    <w:p w:rsidR="0092582D" w:rsidRPr="00C03F1B" w:rsidRDefault="0092582D" w:rsidP="0092582D">
      <w:pPr>
        <w:pBdr>
          <w:bottom w:val="single" w:sz="4" w:space="1" w:color="auto"/>
        </w:pBdr>
        <w:suppressAutoHyphens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sectPr w:rsidR="0092582D" w:rsidRPr="00C03F1B" w:rsidSect="00C9612A">
      <w:footerReference w:type="default" r:id="rId8"/>
      <w:pgSz w:w="11906" w:h="16838"/>
      <w:pgMar w:top="993" w:right="991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335" w:rsidRDefault="00647335" w:rsidP="006B6D2B">
      <w:r>
        <w:separator/>
      </w:r>
    </w:p>
  </w:endnote>
  <w:endnote w:type="continuationSeparator" w:id="0">
    <w:p w:rsidR="00647335" w:rsidRDefault="00647335" w:rsidP="006B6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7874395"/>
      <w:docPartObj>
        <w:docPartGallery w:val="Page Numbers (Bottom of Page)"/>
        <w:docPartUnique/>
      </w:docPartObj>
    </w:sdtPr>
    <w:sdtContent>
      <w:p w:rsidR="006B6D2B" w:rsidRDefault="00945184">
        <w:pPr>
          <w:pStyle w:val="Piedepgina"/>
          <w:jc w:val="right"/>
        </w:pPr>
        <w:r>
          <w:fldChar w:fldCharType="begin"/>
        </w:r>
        <w:r w:rsidR="006B6D2B">
          <w:instrText>PAGE   \* MERGEFORMAT</w:instrText>
        </w:r>
        <w:r>
          <w:fldChar w:fldCharType="separate"/>
        </w:r>
        <w:r w:rsidR="00402D11">
          <w:rPr>
            <w:noProof/>
          </w:rPr>
          <w:t>1</w:t>
        </w:r>
        <w:r>
          <w:fldChar w:fldCharType="end"/>
        </w:r>
      </w:p>
    </w:sdtContent>
  </w:sdt>
  <w:p w:rsidR="006B6D2B" w:rsidRDefault="006B6D2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335" w:rsidRDefault="00647335" w:rsidP="006B6D2B">
      <w:r>
        <w:separator/>
      </w:r>
    </w:p>
  </w:footnote>
  <w:footnote w:type="continuationSeparator" w:id="0">
    <w:p w:rsidR="00647335" w:rsidRDefault="00647335" w:rsidP="006B6D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F4AD1"/>
    <w:multiLevelType w:val="hybridMultilevel"/>
    <w:tmpl w:val="FED281F4"/>
    <w:lvl w:ilvl="0" w:tplc="2C0A000F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b w:val="0"/>
      </w:rPr>
    </w:lvl>
    <w:lvl w:ilvl="1" w:tplc="040A0019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0A000F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1">
    <w:nsid w:val="24E05864"/>
    <w:multiLevelType w:val="hybridMultilevel"/>
    <w:tmpl w:val="605C2504"/>
    <w:lvl w:ilvl="0" w:tplc="4D3423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6391B2B"/>
    <w:multiLevelType w:val="hybridMultilevel"/>
    <w:tmpl w:val="DCC4D418"/>
    <w:lvl w:ilvl="0" w:tplc="0C0A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2CF87249"/>
    <w:multiLevelType w:val="hybridMultilevel"/>
    <w:tmpl w:val="422AA26A"/>
    <w:lvl w:ilvl="0" w:tplc="0C0A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5C0158FF"/>
    <w:multiLevelType w:val="multilevel"/>
    <w:tmpl w:val="4C967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137C09"/>
    <w:multiLevelType w:val="multilevel"/>
    <w:tmpl w:val="04744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D2543B"/>
    <w:multiLevelType w:val="hybridMultilevel"/>
    <w:tmpl w:val="5036B61C"/>
    <w:lvl w:ilvl="0" w:tplc="F59060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D2B"/>
    <w:rsid w:val="00015D84"/>
    <w:rsid w:val="00073743"/>
    <w:rsid w:val="00082DF4"/>
    <w:rsid w:val="0009246B"/>
    <w:rsid w:val="000E1E6F"/>
    <w:rsid w:val="000E55C2"/>
    <w:rsid w:val="000F0B4B"/>
    <w:rsid w:val="000F3D2B"/>
    <w:rsid w:val="001043FB"/>
    <w:rsid w:val="00105A0F"/>
    <w:rsid w:val="00114395"/>
    <w:rsid w:val="00131086"/>
    <w:rsid w:val="001524F9"/>
    <w:rsid w:val="00152D89"/>
    <w:rsid w:val="00155BB8"/>
    <w:rsid w:val="00183168"/>
    <w:rsid w:val="001E1F7C"/>
    <w:rsid w:val="0023266B"/>
    <w:rsid w:val="002350C5"/>
    <w:rsid w:val="002A40AC"/>
    <w:rsid w:val="002A7D4C"/>
    <w:rsid w:val="002B1157"/>
    <w:rsid w:val="002C62A8"/>
    <w:rsid w:val="002E76BE"/>
    <w:rsid w:val="002F6A7D"/>
    <w:rsid w:val="0030145D"/>
    <w:rsid w:val="003069D7"/>
    <w:rsid w:val="0034339A"/>
    <w:rsid w:val="003900D5"/>
    <w:rsid w:val="003A0336"/>
    <w:rsid w:val="003A391C"/>
    <w:rsid w:val="003A3BB4"/>
    <w:rsid w:val="003A5ABE"/>
    <w:rsid w:val="00402D11"/>
    <w:rsid w:val="0043299E"/>
    <w:rsid w:val="004469E7"/>
    <w:rsid w:val="004509F6"/>
    <w:rsid w:val="004C5672"/>
    <w:rsid w:val="005608E4"/>
    <w:rsid w:val="0056345F"/>
    <w:rsid w:val="005A0594"/>
    <w:rsid w:val="005E4913"/>
    <w:rsid w:val="005F618E"/>
    <w:rsid w:val="005F6DA0"/>
    <w:rsid w:val="006105EB"/>
    <w:rsid w:val="00647335"/>
    <w:rsid w:val="00660778"/>
    <w:rsid w:val="006807D8"/>
    <w:rsid w:val="00684C15"/>
    <w:rsid w:val="006A5DDF"/>
    <w:rsid w:val="006A771D"/>
    <w:rsid w:val="006B6D2B"/>
    <w:rsid w:val="006E2409"/>
    <w:rsid w:val="007417B5"/>
    <w:rsid w:val="007703F8"/>
    <w:rsid w:val="00794BA5"/>
    <w:rsid w:val="007D2346"/>
    <w:rsid w:val="007E6ED5"/>
    <w:rsid w:val="00804024"/>
    <w:rsid w:val="00804899"/>
    <w:rsid w:val="0082437E"/>
    <w:rsid w:val="008257FE"/>
    <w:rsid w:val="008331E5"/>
    <w:rsid w:val="008601E6"/>
    <w:rsid w:val="00860AB5"/>
    <w:rsid w:val="00894B1F"/>
    <w:rsid w:val="008E1E8C"/>
    <w:rsid w:val="008E54E4"/>
    <w:rsid w:val="0092582D"/>
    <w:rsid w:val="00945184"/>
    <w:rsid w:val="00970F7E"/>
    <w:rsid w:val="00971EBB"/>
    <w:rsid w:val="00983A01"/>
    <w:rsid w:val="009A6765"/>
    <w:rsid w:val="009C1DB2"/>
    <w:rsid w:val="009D22A2"/>
    <w:rsid w:val="009F7029"/>
    <w:rsid w:val="00A05EAD"/>
    <w:rsid w:val="00A23A5F"/>
    <w:rsid w:val="00A37031"/>
    <w:rsid w:val="00A776DF"/>
    <w:rsid w:val="00A80335"/>
    <w:rsid w:val="00A85547"/>
    <w:rsid w:val="00AB249B"/>
    <w:rsid w:val="00AC71A7"/>
    <w:rsid w:val="00AF6C4E"/>
    <w:rsid w:val="00B21D58"/>
    <w:rsid w:val="00B419EA"/>
    <w:rsid w:val="00B439C5"/>
    <w:rsid w:val="00B5018A"/>
    <w:rsid w:val="00B77D0A"/>
    <w:rsid w:val="00C03F1B"/>
    <w:rsid w:val="00C07941"/>
    <w:rsid w:val="00C23426"/>
    <w:rsid w:val="00C33C78"/>
    <w:rsid w:val="00C418E7"/>
    <w:rsid w:val="00C9612A"/>
    <w:rsid w:val="00CB43E5"/>
    <w:rsid w:val="00CE41A0"/>
    <w:rsid w:val="00CE5F3A"/>
    <w:rsid w:val="00D22C8C"/>
    <w:rsid w:val="00D27460"/>
    <w:rsid w:val="00D37304"/>
    <w:rsid w:val="00D61E52"/>
    <w:rsid w:val="00DA65DB"/>
    <w:rsid w:val="00DD6D50"/>
    <w:rsid w:val="00E121CA"/>
    <w:rsid w:val="00E956F3"/>
    <w:rsid w:val="00ED3A0F"/>
    <w:rsid w:val="00ED6978"/>
    <w:rsid w:val="00F01E9A"/>
    <w:rsid w:val="00F66221"/>
    <w:rsid w:val="00FA30D7"/>
    <w:rsid w:val="00FB6C39"/>
    <w:rsid w:val="00FF3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03F8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0F3D2B"/>
    <w:pPr>
      <w:spacing w:after="120"/>
      <w:jc w:val="both"/>
    </w:pPr>
    <w:rPr>
      <w:rFonts w:ascii="Arial" w:hAnsi="Arial"/>
      <w:spacing w:val="10"/>
      <w:sz w:val="22"/>
      <w:szCs w:val="20"/>
    </w:rPr>
  </w:style>
  <w:style w:type="character" w:styleId="Hipervnculo">
    <w:name w:val="Hyperlink"/>
    <w:rsid w:val="00C23426"/>
    <w:rPr>
      <w:color w:val="0000FF"/>
      <w:u w:val="single"/>
    </w:rPr>
  </w:style>
  <w:style w:type="paragraph" w:styleId="Encabezado">
    <w:name w:val="header"/>
    <w:basedOn w:val="Normal"/>
    <w:rsid w:val="005A0594"/>
    <w:pPr>
      <w:tabs>
        <w:tab w:val="center" w:pos="4252"/>
        <w:tab w:val="right" w:pos="8504"/>
      </w:tabs>
    </w:pPr>
    <w:rPr>
      <w:rFonts w:ascii="Calibri" w:hAnsi="Calibri"/>
      <w:lang w:val="es-ES_tradnl" w:eastAsia="es-ES_tradnl"/>
    </w:rPr>
  </w:style>
  <w:style w:type="character" w:customStyle="1" w:styleId="apple-converted-space">
    <w:name w:val="apple-converted-space"/>
    <w:basedOn w:val="Fuentedeprrafopredeter"/>
    <w:rsid w:val="00A05EAD"/>
  </w:style>
  <w:style w:type="paragraph" w:styleId="Sangradetextonormal">
    <w:name w:val="Body Text Indent"/>
    <w:basedOn w:val="Normal"/>
    <w:link w:val="SangradetextonormalCar"/>
    <w:rsid w:val="00CE5F3A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CE5F3A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6105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105EB"/>
    <w:rPr>
      <w:rFonts w:ascii="Tahoma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6B6D2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6D2B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The houze!</Company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2</cp:revision>
  <cp:lastPrinted>2013-09-27T16:48:00Z</cp:lastPrinted>
  <dcterms:created xsi:type="dcterms:W3CDTF">2015-09-19T00:23:00Z</dcterms:created>
  <dcterms:modified xsi:type="dcterms:W3CDTF">2015-09-19T00:23:00Z</dcterms:modified>
</cp:coreProperties>
</file>