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11" w:rsidRDefault="00F50548">
      <w:bookmarkStart w:id="0" w:name="_GoBack"/>
      <w:bookmarkEnd w:id="0"/>
      <w:r>
        <w:rPr>
          <w:noProof/>
          <w:lang w:val="es-AR" w:eastAsia="es-AR"/>
        </w:rPr>
        <w:drawing>
          <wp:inline distT="0" distB="0" distL="0" distR="0">
            <wp:extent cx="5826760" cy="701675"/>
            <wp:effectExtent l="0" t="0" r="2540" b="3175"/>
            <wp:docPr id="1" name="Imagen 1" descr="Encabezado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cabezado wor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76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C11" w:rsidRPr="00925C11" w:rsidRDefault="00925C11" w:rsidP="00925C11"/>
    <w:p w:rsidR="00925C11" w:rsidRPr="00925C11" w:rsidRDefault="00925C11" w:rsidP="00925C11"/>
    <w:p w:rsidR="00925C11" w:rsidRDefault="00925C11" w:rsidP="00925C11"/>
    <w:p w:rsidR="00925C11" w:rsidRPr="004E0AB3" w:rsidRDefault="00925C11" w:rsidP="00925C11">
      <w:pPr>
        <w:pBdr>
          <w:bottom w:val="single" w:sz="4" w:space="1" w:color="auto"/>
        </w:pBdr>
        <w:jc w:val="center"/>
        <w:rPr>
          <w:rFonts w:ascii="Franklin Gothic Demi" w:hAnsi="Franklin Gothic Demi" w:cs="Arial"/>
          <w:sz w:val="32"/>
          <w:szCs w:val="32"/>
        </w:rPr>
      </w:pPr>
      <w:r>
        <w:tab/>
      </w:r>
      <w:r>
        <w:rPr>
          <w:rFonts w:ascii="Franklin Gothic Demi" w:hAnsi="Franklin Gothic Demi" w:cs="Arial"/>
          <w:sz w:val="32"/>
          <w:szCs w:val="32"/>
        </w:rPr>
        <w:t xml:space="preserve">COMUNICACIÓN Nº </w:t>
      </w:r>
      <w:r w:rsidR="00E44259">
        <w:rPr>
          <w:rFonts w:ascii="Franklin Gothic Demi" w:hAnsi="Franklin Gothic Demi" w:cs="Arial"/>
          <w:sz w:val="32"/>
          <w:szCs w:val="32"/>
        </w:rPr>
        <w:t>4</w:t>
      </w:r>
      <w:r w:rsidR="00441DE6">
        <w:rPr>
          <w:rFonts w:ascii="Franklin Gothic Demi" w:hAnsi="Franklin Gothic Demi" w:cs="Arial"/>
          <w:sz w:val="32"/>
          <w:szCs w:val="32"/>
        </w:rPr>
        <w:t>9</w:t>
      </w:r>
      <w:r w:rsidR="007534BD">
        <w:rPr>
          <w:rFonts w:ascii="Franklin Gothic Demi" w:hAnsi="Franklin Gothic Demi" w:cs="Arial"/>
          <w:sz w:val="32"/>
          <w:szCs w:val="32"/>
        </w:rPr>
        <w:t>/15</w:t>
      </w:r>
    </w:p>
    <w:p w:rsidR="00925C11" w:rsidRPr="001B0004" w:rsidRDefault="00925C11" w:rsidP="00925C11">
      <w:pPr>
        <w:jc w:val="both"/>
        <w:rPr>
          <w:rFonts w:ascii="Arial" w:hAnsi="Arial" w:cs="Arial"/>
          <w:sz w:val="20"/>
          <w:szCs w:val="20"/>
        </w:rPr>
      </w:pPr>
    </w:p>
    <w:p w:rsidR="00925C11" w:rsidRPr="00BA31CA" w:rsidRDefault="00925C11" w:rsidP="00925C11">
      <w:pPr>
        <w:spacing w:line="360" w:lineRule="auto"/>
        <w:jc w:val="right"/>
        <w:rPr>
          <w:rFonts w:ascii="Arial" w:hAnsi="Arial" w:cs="Arial"/>
        </w:rPr>
      </w:pPr>
      <w:r w:rsidRPr="00BA31CA">
        <w:rPr>
          <w:rFonts w:ascii="Arial" w:hAnsi="Arial" w:cs="Arial"/>
        </w:rPr>
        <w:t xml:space="preserve">                                           </w:t>
      </w:r>
      <w:r w:rsidR="00E44259">
        <w:rPr>
          <w:rFonts w:ascii="Arial" w:hAnsi="Arial" w:cs="Arial"/>
        </w:rPr>
        <w:t xml:space="preserve">                              </w:t>
      </w:r>
      <w:r w:rsidRPr="00BA31CA">
        <w:rPr>
          <w:rFonts w:ascii="Arial" w:hAnsi="Arial" w:cs="Arial"/>
        </w:rPr>
        <w:t>La Plata</w:t>
      </w:r>
      <w:r w:rsidR="000D512D">
        <w:rPr>
          <w:rFonts w:ascii="Arial" w:hAnsi="Arial" w:cs="Arial"/>
        </w:rPr>
        <w:t xml:space="preserve">, </w:t>
      </w:r>
      <w:r w:rsidR="0093228A">
        <w:rPr>
          <w:rFonts w:ascii="Arial" w:hAnsi="Arial" w:cs="Arial"/>
        </w:rPr>
        <w:t>9</w:t>
      </w:r>
      <w:r w:rsidR="00E44259">
        <w:rPr>
          <w:rFonts w:ascii="Arial" w:hAnsi="Arial" w:cs="Arial"/>
        </w:rPr>
        <w:t xml:space="preserve"> de Setiembre de</w:t>
      </w:r>
      <w:r w:rsidR="007534BD" w:rsidRPr="00BA31CA">
        <w:rPr>
          <w:rFonts w:ascii="Arial" w:hAnsi="Arial" w:cs="Arial"/>
        </w:rPr>
        <w:t xml:space="preserve"> 2015</w:t>
      </w:r>
    </w:p>
    <w:p w:rsidR="007417B5" w:rsidRPr="000D512D" w:rsidRDefault="007417B5" w:rsidP="00925C11">
      <w:pPr>
        <w:tabs>
          <w:tab w:val="left" w:pos="3684"/>
        </w:tabs>
        <w:rPr>
          <w:rFonts w:ascii="Arial" w:hAnsi="Arial" w:cs="Arial"/>
          <w:lang w:val="es-AR"/>
        </w:rPr>
      </w:pPr>
    </w:p>
    <w:p w:rsidR="00925C11" w:rsidRPr="00BA31CA" w:rsidRDefault="00925C11" w:rsidP="00925C11">
      <w:pPr>
        <w:pStyle w:val="Textoindependiente"/>
        <w:rPr>
          <w:rFonts w:cs="Arial"/>
          <w:sz w:val="24"/>
          <w:szCs w:val="24"/>
          <w:lang w:val="pt-BR"/>
        </w:rPr>
      </w:pPr>
      <w:r w:rsidRPr="000D512D">
        <w:rPr>
          <w:rFonts w:cs="Arial"/>
          <w:sz w:val="24"/>
          <w:szCs w:val="24"/>
          <w:lang w:val="es-AR"/>
        </w:rPr>
        <w:t>Señores</w:t>
      </w:r>
      <w:r w:rsidRPr="00BA31CA">
        <w:rPr>
          <w:rFonts w:cs="Arial"/>
          <w:sz w:val="24"/>
          <w:szCs w:val="24"/>
          <w:lang w:val="pt-BR"/>
        </w:rPr>
        <w:t xml:space="preserve">/as </w:t>
      </w:r>
      <w:proofErr w:type="spellStart"/>
      <w:r w:rsidRPr="00BA31CA">
        <w:rPr>
          <w:rFonts w:cs="Arial"/>
          <w:sz w:val="24"/>
          <w:szCs w:val="24"/>
          <w:lang w:val="pt-BR"/>
        </w:rPr>
        <w:t>Inspectores</w:t>
      </w:r>
      <w:proofErr w:type="spellEnd"/>
      <w:r w:rsidRPr="00BA31CA">
        <w:rPr>
          <w:rFonts w:cs="Arial"/>
          <w:sz w:val="24"/>
          <w:szCs w:val="24"/>
          <w:lang w:val="pt-BR"/>
        </w:rPr>
        <w:t>/as</w:t>
      </w:r>
      <w:r w:rsidR="00E44259" w:rsidRPr="000D512D">
        <w:rPr>
          <w:rFonts w:cs="Arial"/>
          <w:sz w:val="24"/>
          <w:szCs w:val="24"/>
          <w:lang w:val="es-AR"/>
        </w:rPr>
        <w:t xml:space="preserve"> </w:t>
      </w:r>
    </w:p>
    <w:p w:rsidR="00925C11" w:rsidRPr="00BA31CA" w:rsidRDefault="00925C11" w:rsidP="00925C11">
      <w:pPr>
        <w:pStyle w:val="Textoindependiente"/>
        <w:rPr>
          <w:rFonts w:cs="Arial"/>
          <w:sz w:val="24"/>
          <w:szCs w:val="24"/>
          <w:lang w:val="pt-BR"/>
        </w:rPr>
      </w:pPr>
      <w:proofErr w:type="spellStart"/>
      <w:r w:rsidRPr="00BA31CA">
        <w:rPr>
          <w:rFonts w:cs="Arial"/>
          <w:sz w:val="24"/>
          <w:szCs w:val="24"/>
          <w:lang w:val="pt-BR"/>
        </w:rPr>
        <w:t>Señores</w:t>
      </w:r>
      <w:proofErr w:type="spellEnd"/>
      <w:r w:rsidRPr="00BA31CA">
        <w:rPr>
          <w:rFonts w:cs="Arial"/>
          <w:sz w:val="24"/>
          <w:szCs w:val="24"/>
          <w:lang w:val="pt-BR"/>
        </w:rPr>
        <w:t xml:space="preserve">/as </w:t>
      </w:r>
      <w:proofErr w:type="spellStart"/>
      <w:r w:rsidRPr="00BA31CA">
        <w:rPr>
          <w:rFonts w:cs="Arial"/>
          <w:sz w:val="24"/>
          <w:szCs w:val="24"/>
          <w:lang w:val="pt-BR"/>
        </w:rPr>
        <w:t>Directores</w:t>
      </w:r>
      <w:proofErr w:type="spellEnd"/>
      <w:r w:rsidRPr="00BA31CA">
        <w:rPr>
          <w:rFonts w:cs="Arial"/>
          <w:sz w:val="24"/>
          <w:szCs w:val="24"/>
          <w:lang w:val="pt-BR"/>
        </w:rPr>
        <w:t>/as</w:t>
      </w:r>
      <w:proofErr w:type="gramStart"/>
      <w:r w:rsidR="00441DE6">
        <w:rPr>
          <w:rFonts w:cs="Arial"/>
          <w:sz w:val="24"/>
          <w:szCs w:val="24"/>
          <w:lang w:val="pt-BR"/>
        </w:rPr>
        <w:t xml:space="preserve">  </w:t>
      </w:r>
    </w:p>
    <w:p w:rsidR="00925C11" w:rsidRPr="00BA31CA" w:rsidRDefault="00925C11" w:rsidP="00925C11">
      <w:pPr>
        <w:tabs>
          <w:tab w:val="left" w:pos="3684"/>
        </w:tabs>
        <w:rPr>
          <w:rFonts w:ascii="Arial" w:hAnsi="Arial" w:cs="Arial"/>
          <w:lang w:val="pt-BR"/>
        </w:rPr>
      </w:pPr>
      <w:proofErr w:type="gramEnd"/>
    </w:p>
    <w:p w:rsidR="00D34783" w:rsidRDefault="0093228A" w:rsidP="00D34783">
      <w:pPr>
        <w:tabs>
          <w:tab w:val="left" w:pos="36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3228A">
        <w:rPr>
          <w:rFonts w:ascii="Arial" w:hAnsi="Arial" w:cs="Arial"/>
        </w:rPr>
        <w:t>Se ha concluid</w:t>
      </w:r>
      <w:r w:rsidR="002763AE">
        <w:rPr>
          <w:rFonts w:ascii="Arial" w:hAnsi="Arial" w:cs="Arial"/>
        </w:rPr>
        <w:t>o con éxito el tratamiento y con</w:t>
      </w:r>
      <w:r w:rsidRPr="0093228A">
        <w:rPr>
          <w:rFonts w:ascii="Arial" w:hAnsi="Arial" w:cs="Arial"/>
        </w:rPr>
        <w:t xml:space="preserve">validación de POF del Nivel Superior.  Todos los actores intervinientes profundizaron el camino ya iniciado en relación al análisis cuantitativo y cualitativo de tan importante instrumento de gestión y presupuesto. </w:t>
      </w:r>
      <w:r w:rsidRPr="0093228A">
        <w:rPr>
          <w:rFonts w:ascii="Arial" w:hAnsi="Arial" w:cs="Arial"/>
        </w:rPr>
        <w:br/>
      </w:r>
      <w:r w:rsidR="00D34783">
        <w:rPr>
          <w:rFonts w:ascii="Arial" w:hAnsi="Arial" w:cs="Arial"/>
        </w:rPr>
        <w:t xml:space="preserve">                                                      </w:t>
      </w:r>
      <w:r w:rsidRPr="0093228A">
        <w:rPr>
          <w:rFonts w:ascii="Arial" w:hAnsi="Arial" w:cs="Arial"/>
        </w:rPr>
        <w:t>Los cargos aprobados según Resolución requieren de una importante distinción entre aquellos que tienen desempeño físico de aquellos que aún se encuentran sin cubrir. Para evitar inconvenientes en relación a estos últimos recordamos que existe un circuito formal y jerárquico para la cobertura de los mismos (aún por artículo 75).</w:t>
      </w:r>
    </w:p>
    <w:p w:rsidR="00925C11" w:rsidRPr="00BA31CA" w:rsidRDefault="00D34783" w:rsidP="00D34783">
      <w:pPr>
        <w:tabs>
          <w:tab w:val="left" w:pos="3684"/>
        </w:tabs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</w:rPr>
        <w:t xml:space="preserve">                                                    </w:t>
      </w:r>
      <w:r w:rsidR="0093228A" w:rsidRPr="0093228A">
        <w:rPr>
          <w:rFonts w:ascii="Arial" w:hAnsi="Arial" w:cs="Arial"/>
        </w:rPr>
        <w:t xml:space="preserve"> Es necesaria la consulta a la DES y respetar la asignación presupuestaria ligada a la obtención del CUPOF correspondiente</w:t>
      </w:r>
      <w:r>
        <w:rPr>
          <w:rFonts w:ascii="Arial" w:hAnsi="Arial" w:cs="Arial"/>
        </w:rPr>
        <w:t>,</w:t>
      </w:r>
      <w:r w:rsidR="0093228A" w:rsidRPr="0093228A">
        <w:rPr>
          <w:rFonts w:ascii="Arial" w:hAnsi="Arial" w:cs="Arial"/>
        </w:rPr>
        <w:t xml:space="preserve"> para evitar designaciones o asignaciones de funciones que el área de soporte técnico del Tribunal Central no tiene registradas.</w:t>
      </w:r>
    </w:p>
    <w:p w:rsidR="000A4841" w:rsidRPr="006A059B" w:rsidRDefault="00E56752" w:rsidP="00D34783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A4841" w:rsidRDefault="000A4841" w:rsidP="00444643">
      <w:pPr>
        <w:tabs>
          <w:tab w:val="left" w:pos="2700"/>
        </w:tabs>
        <w:spacing w:line="360" w:lineRule="auto"/>
        <w:jc w:val="both"/>
        <w:rPr>
          <w:rFonts w:ascii="Arial" w:hAnsi="Arial" w:cs="Arial"/>
        </w:rPr>
      </w:pPr>
    </w:p>
    <w:p w:rsidR="000A4841" w:rsidRDefault="000A4841" w:rsidP="00444643">
      <w:pPr>
        <w:tabs>
          <w:tab w:val="left" w:pos="2700"/>
        </w:tabs>
        <w:spacing w:line="360" w:lineRule="auto"/>
        <w:jc w:val="both"/>
        <w:rPr>
          <w:rFonts w:ascii="Arial" w:hAnsi="Arial" w:cs="Arial"/>
        </w:rPr>
      </w:pPr>
    </w:p>
    <w:p w:rsidR="00E56752" w:rsidRPr="00BA31CA" w:rsidRDefault="00E56752" w:rsidP="00444643">
      <w:pPr>
        <w:tabs>
          <w:tab w:val="left" w:pos="270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Saludos cordiales</w:t>
      </w:r>
    </w:p>
    <w:p w:rsidR="00011B9A" w:rsidRDefault="00011B9A" w:rsidP="00011B9A">
      <w:pPr>
        <w:tabs>
          <w:tab w:val="left" w:pos="3684"/>
        </w:tabs>
        <w:jc w:val="both"/>
        <w:rPr>
          <w:rFonts w:ascii="Arial" w:hAnsi="Arial" w:cs="Arial"/>
        </w:rPr>
      </w:pPr>
    </w:p>
    <w:p w:rsidR="00BA31CA" w:rsidRDefault="00BA31CA" w:rsidP="00011B9A">
      <w:pPr>
        <w:tabs>
          <w:tab w:val="left" w:pos="3684"/>
        </w:tabs>
        <w:jc w:val="both"/>
        <w:rPr>
          <w:rFonts w:ascii="Arial" w:hAnsi="Arial" w:cs="Arial"/>
        </w:rPr>
      </w:pPr>
    </w:p>
    <w:p w:rsidR="001F6CC6" w:rsidRDefault="001F6CC6" w:rsidP="00011B9A">
      <w:pPr>
        <w:tabs>
          <w:tab w:val="left" w:pos="3684"/>
        </w:tabs>
        <w:jc w:val="both"/>
        <w:rPr>
          <w:rFonts w:ascii="Arial" w:hAnsi="Arial" w:cs="Arial"/>
        </w:rPr>
      </w:pPr>
    </w:p>
    <w:p w:rsidR="001F6CC6" w:rsidRDefault="001F6CC6" w:rsidP="00011B9A">
      <w:pPr>
        <w:tabs>
          <w:tab w:val="left" w:pos="3684"/>
        </w:tabs>
        <w:jc w:val="both"/>
        <w:rPr>
          <w:rFonts w:ascii="Arial" w:hAnsi="Arial" w:cs="Arial"/>
        </w:rPr>
      </w:pPr>
    </w:p>
    <w:p w:rsidR="00756433" w:rsidRDefault="00756433" w:rsidP="00011B9A">
      <w:pPr>
        <w:tabs>
          <w:tab w:val="left" w:pos="3684"/>
        </w:tabs>
        <w:jc w:val="both"/>
        <w:rPr>
          <w:rFonts w:ascii="Arial" w:hAnsi="Arial" w:cs="Arial"/>
        </w:rPr>
      </w:pPr>
    </w:p>
    <w:p w:rsidR="00756433" w:rsidRDefault="00756433" w:rsidP="00011B9A">
      <w:pPr>
        <w:tabs>
          <w:tab w:val="left" w:pos="3684"/>
        </w:tabs>
        <w:jc w:val="both"/>
        <w:rPr>
          <w:rFonts w:ascii="Arial" w:hAnsi="Arial" w:cs="Arial"/>
        </w:rPr>
      </w:pPr>
    </w:p>
    <w:p w:rsidR="00BA31CA" w:rsidRDefault="00BA31CA" w:rsidP="00BA31CA">
      <w:pPr>
        <w:tabs>
          <w:tab w:val="left" w:pos="3684"/>
        </w:tabs>
        <w:ind w:left="-1080"/>
        <w:jc w:val="both"/>
        <w:rPr>
          <w:rFonts w:ascii="Arial" w:hAnsi="Arial" w:cs="Arial"/>
        </w:rPr>
      </w:pPr>
    </w:p>
    <w:tbl>
      <w:tblPr>
        <w:tblW w:w="10065" w:type="dxa"/>
        <w:jc w:val="center"/>
        <w:tblInd w:w="-743" w:type="dxa"/>
        <w:tblLook w:val="04A0" w:firstRow="1" w:lastRow="0" w:firstColumn="1" w:lastColumn="0" w:noHBand="0" w:noVBand="1"/>
      </w:tblPr>
      <w:tblGrid>
        <w:gridCol w:w="3130"/>
        <w:gridCol w:w="3250"/>
        <w:gridCol w:w="3685"/>
      </w:tblGrid>
      <w:tr w:rsidR="001F6CC6" w:rsidRPr="00756433" w:rsidTr="00756433">
        <w:trPr>
          <w:trHeight w:val="431"/>
          <w:jc w:val="center"/>
        </w:trPr>
        <w:tc>
          <w:tcPr>
            <w:tcW w:w="3130" w:type="dxa"/>
            <w:shd w:val="clear" w:color="auto" w:fill="auto"/>
            <w:vAlign w:val="center"/>
          </w:tcPr>
          <w:p w:rsidR="001F6CC6" w:rsidRPr="00756433" w:rsidRDefault="001F6CC6" w:rsidP="00756433">
            <w:pPr>
              <w:tabs>
                <w:tab w:val="right" w:pos="2914"/>
              </w:tabs>
              <w:jc w:val="center"/>
              <w:rPr>
                <w:rFonts w:ascii="Arial" w:hAnsi="Arial" w:cs="Arial"/>
              </w:rPr>
            </w:pPr>
            <w:r w:rsidRPr="00756433">
              <w:rPr>
                <w:rFonts w:ascii="Arial" w:hAnsi="Arial" w:cs="Arial"/>
                <w:sz w:val="20"/>
                <w:szCs w:val="20"/>
                <w:lang w:val="en-GB"/>
              </w:rPr>
              <w:t xml:space="preserve">Lic. </w:t>
            </w:r>
            <w:r w:rsidRPr="00756433">
              <w:rPr>
                <w:rFonts w:ascii="Arial" w:hAnsi="Arial" w:cs="Arial"/>
                <w:sz w:val="20"/>
                <w:szCs w:val="20"/>
              </w:rPr>
              <w:t>Alejandra García</w:t>
            </w:r>
          </w:p>
        </w:tc>
        <w:tc>
          <w:tcPr>
            <w:tcW w:w="3250" w:type="dxa"/>
            <w:shd w:val="clear" w:color="auto" w:fill="auto"/>
            <w:vAlign w:val="center"/>
          </w:tcPr>
          <w:p w:rsidR="001F6CC6" w:rsidRPr="00756433" w:rsidRDefault="001F6CC6" w:rsidP="00756433">
            <w:pPr>
              <w:tabs>
                <w:tab w:val="left" w:pos="3684"/>
              </w:tabs>
              <w:jc w:val="center"/>
              <w:rPr>
                <w:rFonts w:ascii="Arial" w:hAnsi="Arial" w:cs="Arial"/>
              </w:rPr>
            </w:pPr>
            <w:r w:rsidRPr="00756433">
              <w:rPr>
                <w:rFonts w:ascii="Arial" w:hAnsi="Arial" w:cs="Arial"/>
                <w:sz w:val="20"/>
                <w:szCs w:val="20"/>
                <w:lang w:val="en-GB"/>
              </w:rPr>
              <w:t>Prof. Marta Netto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F6CC6" w:rsidRPr="00756433" w:rsidRDefault="001F6CC6" w:rsidP="00756433">
            <w:pPr>
              <w:tabs>
                <w:tab w:val="left" w:pos="3684"/>
              </w:tabs>
              <w:jc w:val="center"/>
              <w:rPr>
                <w:rFonts w:ascii="Arial" w:hAnsi="Arial" w:cs="Arial"/>
              </w:rPr>
            </w:pPr>
            <w:r w:rsidRPr="00756433">
              <w:rPr>
                <w:rFonts w:ascii="Arial" w:hAnsi="Arial" w:cs="Arial"/>
                <w:sz w:val="20"/>
                <w:szCs w:val="20"/>
                <w:lang w:val="en-GB"/>
              </w:rPr>
              <w:t>Prof. Andrea Gatti</w:t>
            </w:r>
          </w:p>
        </w:tc>
      </w:tr>
      <w:tr w:rsidR="001F6CC6" w:rsidRPr="00756433" w:rsidTr="00756433">
        <w:trPr>
          <w:jc w:val="center"/>
        </w:trPr>
        <w:tc>
          <w:tcPr>
            <w:tcW w:w="3130" w:type="dxa"/>
            <w:shd w:val="clear" w:color="auto" w:fill="auto"/>
            <w:vAlign w:val="center"/>
          </w:tcPr>
          <w:p w:rsidR="001F6CC6" w:rsidRPr="00756433" w:rsidRDefault="001F6CC6" w:rsidP="00756433">
            <w:pPr>
              <w:ind w:left="-1080" w:right="-67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56433">
              <w:rPr>
                <w:rFonts w:ascii="Arial" w:hAnsi="Arial" w:cs="Arial"/>
                <w:b/>
                <w:sz w:val="16"/>
                <w:szCs w:val="16"/>
              </w:rPr>
              <w:t>Subdir.</w:t>
            </w:r>
            <w:r w:rsidR="00756433" w:rsidRPr="00756433">
              <w:rPr>
                <w:rFonts w:ascii="Arial" w:hAnsi="Arial" w:cs="Arial"/>
                <w:b/>
                <w:sz w:val="16"/>
                <w:szCs w:val="16"/>
              </w:rPr>
              <w:t xml:space="preserve"> de </w:t>
            </w:r>
            <w:r w:rsidRPr="00756433">
              <w:rPr>
                <w:rFonts w:ascii="Arial" w:hAnsi="Arial" w:cs="Arial"/>
                <w:b/>
                <w:sz w:val="16"/>
                <w:szCs w:val="16"/>
              </w:rPr>
              <w:t>Formación Técnica</w:t>
            </w:r>
          </w:p>
        </w:tc>
        <w:tc>
          <w:tcPr>
            <w:tcW w:w="3250" w:type="dxa"/>
            <w:shd w:val="clear" w:color="auto" w:fill="auto"/>
            <w:vAlign w:val="center"/>
          </w:tcPr>
          <w:p w:rsidR="001F6CC6" w:rsidRPr="00756433" w:rsidRDefault="001F6CC6" w:rsidP="00756433">
            <w:pPr>
              <w:tabs>
                <w:tab w:val="left" w:pos="3684"/>
              </w:tabs>
              <w:jc w:val="center"/>
              <w:rPr>
                <w:rFonts w:ascii="Arial" w:hAnsi="Arial" w:cs="Arial"/>
              </w:rPr>
            </w:pPr>
            <w:r w:rsidRPr="00756433">
              <w:rPr>
                <w:rFonts w:ascii="Arial" w:hAnsi="Arial" w:cs="Arial"/>
                <w:b/>
                <w:sz w:val="16"/>
                <w:szCs w:val="16"/>
              </w:rPr>
              <w:t>Directora de Educación Superior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F6CC6" w:rsidRPr="00756433" w:rsidRDefault="001F6CC6" w:rsidP="00756433">
            <w:pPr>
              <w:tabs>
                <w:tab w:val="left" w:pos="3684"/>
              </w:tabs>
              <w:jc w:val="center"/>
              <w:rPr>
                <w:rFonts w:ascii="Arial" w:hAnsi="Arial" w:cs="Arial"/>
              </w:rPr>
            </w:pPr>
            <w:r w:rsidRPr="00756433">
              <w:rPr>
                <w:rFonts w:ascii="Arial" w:hAnsi="Arial" w:cs="Arial"/>
                <w:b/>
                <w:sz w:val="16"/>
                <w:szCs w:val="16"/>
              </w:rPr>
              <w:t>Directora Provincial de Educación Superior</w:t>
            </w:r>
          </w:p>
        </w:tc>
      </w:tr>
    </w:tbl>
    <w:p w:rsidR="00BA31CA" w:rsidRDefault="00BA31CA" w:rsidP="00BA31CA">
      <w:pPr>
        <w:tabs>
          <w:tab w:val="left" w:pos="3684"/>
        </w:tabs>
        <w:ind w:left="-1080"/>
        <w:jc w:val="both"/>
        <w:rPr>
          <w:rFonts w:ascii="Arial" w:hAnsi="Arial" w:cs="Arial"/>
        </w:rPr>
      </w:pPr>
    </w:p>
    <w:p w:rsidR="00BA31CA" w:rsidRDefault="00BA31CA" w:rsidP="00BA31CA">
      <w:pPr>
        <w:tabs>
          <w:tab w:val="left" w:pos="3684"/>
        </w:tabs>
        <w:ind w:left="-1080"/>
        <w:rPr>
          <w:rFonts w:ascii="Arial" w:hAnsi="Arial" w:cs="Arial"/>
        </w:rPr>
      </w:pPr>
    </w:p>
    <w:p w:rsidR="00BA31CA" w:rsidRPr="00011B9A" w:rsidRDefault="00BA31CA" w:rsidP="00BA31CA">
      <w:pPr>
        <w:tabs>
          <w:tab w:val="left" w:pos="3684"/>
        </w:tabs>
        <w:ind w:left="-1080"/>
        <w:rPr>
          <w:rFonts w:ascii="Arial" w:hAnsi="Arial" w:cs="Arial"/>
        </w:rPr>
      </w:pPr>
    </w:p>
    <w:sectPr w:rsidR="00BA31CA" w:rsidRPr="00011B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C11"/>
    <w:rsid w:val="00000E7B"/>
    <w:rsid w:val="00011B9A"/>
    <w:rsid w:val="000369E3"/>
    <w:rsid w:val="000A4841"/>
    <w:rsid w:val="000D512D"/>
    <w:rsid w:val="001009D8"/>
    <w:rsid w:val="001F01CD"/>
    <w:rsid w:val="001F6CC6"/>
    <w:rsid w:val="001F7ED0"/>
    <w:rsid w:val="002173B0"/>
    <w:rsid w:val="002763AE"/>
    <w:rsid w:val="003546F2"/>
    <w:rsid w:val="003A7CB2"/>
    <w:rsid w:val="003E71B4"/>
    <w:rsid w:val="00441DE6"/>
    <w:rsid w:val="00444643"/>
    <w:rsid w:val="005B01D3"/>
    <w:rsid w:val="00627ED8"/>
    <w:rsid w:val="00661F12"/>
    <w:rsid w:val="006A059B"/>
    <w:rsid w:val="006E2409"/>
    <w:rsid w:val="00726A69"/>
    <w:rsid w:val="0073163E"/>
    <w:rsid w:val="007417B5"/>
    <w:rsid w:val="007534BD"/>
    <w:rsid w:val="00756433"/>
    <w:rsid w:val="00792323"/>
    <w:rsid w:val="007E6ED5"/>
    <w:rsid w:val="00925C11"/>
    <w:rsid w:val="0093228A"/>
    <w:rsid w:val="009A4490"/>
    <w:rsid w:val="009F7029"/>
    <w:rsid w:val="00A36AB0"/>
    <w:rsid w:val="00B71675"/>
    <w:rsid w:val="00BA31CA"/>
    <w:rsid w:val="00C52136"/>
    <w:rsid w:val="00D10ADB"/>
    <w:rsid w:val="00D34783"/>
    <w:rsid w:val="00D711D0"/>
    <w:rsid w:val="00E44259"/>
    <w:rsid w:val="00E56752"/>
    <w:rsid w:val="00F5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925C11"/>
    <w:pPr>
      <w:spacing w:after="120"/>
      <w:jc w:val="both"/>
    </w:pPr>
    <w:rPr>
      <w:rFonts w:ascii="Arial" w:hAnsi="Arial"/>
      <w:spacing w:val="10"/>
      <w:sz w:val="22"/>
      <w:szCs w:val="20"/>
    </w:rPr>
  </w:style>
  <w:style w:type="table" w:styleId="Tablaconcuadrcula">
    <w:name w:val="Table Grid"/>
    <w:basedOn w:val="Tablanormal"/>
    <w:rsid w:val="001F6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5B01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B01D3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925C11"/>
    <w:pPr>
      <w:spacing w:after="120"/>
      <w:jc w:val="both"/>
    </w:pPr>
    <w:rPr>
      <w:rFonts w:ascii="Arial" w:hAnsi="Arial"/>
      <w:spacing w:val="10"/>
      <w:sz w:val="22"/>
      <w:szCs w:val="20"/>
    </w:rPr>
  </w:style>
  <w:style w:type="table" w:styleId="Tablaconcuadrcula">
    <w:name w:val="Table Grid"/>
    <w:basedOn w:val="Tablanormal"/>
    <w:rsid w:val="001F6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5B01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B01D3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36D2F-1B10-4EAC-A96C-26FD94DF4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The houze!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ROBERTO</cp:lastModifiedBy>
  <cp:revision>2</cp:revision>
  <cp:lastPrinted>2014-02-11T21:45:00Z</cp:lastPrinted>
  <dcterms:created xsi:type="dcterms:W3CDTF">2015-09-10T14:04:00Z</dcterms:created>
  <dcterms:modified xsi:type="dcterms:W3CDTF">2015-09-10T14:04:00Z</dcterms:modified>
</cp:coreProperties>
</file>